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138052" w14:textId="77777777" w:rsidR="0052133A" w:rsidRDefault="0052133A" w:rsidP="0052133A"/>
    <w:p w14:paraId="562E9564" w14:textId="77777777" w:rsidR="0052133A" w:rsidRDefault="0052133A" w:rsidP="0052133A"/>
    <w:p w14:paraId="542601BB" w14:textId="77777777" w:rsidR="0052133A" w:rsidRDefault="0052133A" w:rsidP="0052133A"/>
    <w:tbl>
      <w:tblPr>
        <w:tblW w:w="10934" w:type="dxa"/>
        <w:jc w:val="center"/>
        <w:shd w:val="clear" w:color="auto" w:fill="FFFFFF"/>
        <w:tblCellMar>
          <w:left w:w="0" w:type="dxa"/>
          <w:right w:w="0" w:type="dxa"/>
        </w:tblCellMar>
        <w:tblLook w:val="04A0" w:firstRow="1" w:lastRow="0" w:firstColumn="1" w:lastColumn="0" w:noHBand="0" w:noVBand="1"/>
      </w:tblPr>
      <w:tblGrid>
        <w:gridCol w:w="10934"/>
      </w:tblGrid>
      <w:tr w:rsidR="0052133A" w14:paraId="433C04E8" w14:textId="77777777" w:rsidTr="0052133A">
        <w:trPr>
          <w:trHeight w:val="841"/>
          <w:jc w:val="center"/>
        </w:trPr>
        <w:tc>
          <w:tcPr>
            <w:tcW w:w="10934" w:type="dxa"/>
            <w:shd w:val="clear" w:color="auto" w:fill="FFFFFF"/>
            <w:vAlign w:val="center"/>
            <w:hideMark/>
          </w:tcPr>
          <w:tbl>
            <w:tblPr>
              <w:tblW w:w="10650" w:type="dxa"/>
              <w:jc w:val="center"/>
              <w:shd w:val="clear" w:color="auto" w:fill="FFFFFF"/>
              <w:tblCellMar>
                <w:left w:w="0" w:type="dxa"/>
                <w:right w:w="0" w:type="dxa"/>
              </w:tblCellMar>
              <w:tblLook w:val="04A0" w:firstRow="1" w:lastRow="0" w:firstColumn="1" w:lastColumn="0" w:noHBand="0" w:noVBand="1"/>
            </w:tblPr>
            <w:tblGrid>
              <w:gridCol w:w="10650"/>
            </w:tblGrid>
            <w:tr w:rsidR="0052133A" w14:paraId="6BFBAF37" w14:textId="77777777">
              <w:trPr>
                <w:trHeight w:val="816"/>
                <w:jc w:val="center"/>
              </w:trPr>
              <w:tc>
                <w:tcPr>
                  <w:tcW w:w="0" w:type="auto"/>
                  <w:shd w:val="clear" w:color="auto" w:fill="FFFFFF"/>
                  <w:vAlign w:val="center"/>
                  <w:hideMark/>
                </w:tcPr>
                <w:p w14:paraId="511D4C0F" w14:textId="0709F4B8" w:rsidR="0052133A" w:rsidRDefault="0052133A">
                  <w:pPr>
                    <w:spacing w:line="252" w:lineRule="auto"/>
                  </w:pPr>
                  <w:r>
                    <w:rPr>
                      <w:noProof/>
                      <w:color w:val="005580"/>
                      <w:sz w:val="21"/>
                      <w:szCs w:val="21"/>
                    </w:rPr>
                    <w:drawing>
                      <wp:inline distT="0" distB="0" distL="0" distR="0" wp14:anchorId="56EB4719" wp14:editId="670A090C">
                        <wp:extent cx="5705475" cy="504825"/>
                        <wp:effectExtent l="0" t="0" r="9525" b="9525"/>
                        <wp:docPr id="1" name="Picture 1" descr="National Cancer Institutes">
                          <a:hlinkClick xmlns:a="http://schemas.openxmlformats.org/drawingml/2006/main" r:id="rId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tional Cancer Institutes"/>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705475" cy="504825"/>
                                </a:xfrm>
                                <a:prstGeom prst="rect">
                                  <a:avLst/>
                                </a:prstGeom>
                                <a:noFill/>
                                <a:ln>
                                  <a:noFill/>
                                </a:ln>
                              </pic:spPr>
                            </pic:pic>
                          </a:graphicData>
                        </a:graphic>
                      </wp:inline>
                    </w:drawing>
                  </w:r>
                </w:p>
              </w:tc>
            </w:tr>
          </w:tbl>
          <w:p w14:paraId="317DD408" w14:textId="77777777" w:rsidR="0052133A" w:rsidRDefault="0052133A">
            <w:pPr>
              <w:jc w:val="center"/>
              <w:rPr>
                <w:rFonts w:ascii="Times New Roman" w:eastAsia="Times New Roman" w:hAnsi="Times New Roman" w:cs="Times New Roman"/>
                <w:sz w:val="20"/>
                <w:szCs w:val="20"/>
              </w:rPr>
            </w:pPr>
          </w:p>
        </w:tc>
      </w:tr>
      <w:tr w:rsidR="0052133A" w14:paraId="22665B1E" w14:textId="77777777" w:rsidTr="0052133A">
        <w:trPr>
          <w:trHeight w:val="160"/>
          <w:jc w:val="center"/>
        </w:trPr>
        <w:tc>
          <w:tcPr>
            <w:tcW w:w="10934" w:type="dxa"/>
            <w:shd w:val="clear" w:color="auto" w:fill="FFFFFF"/>
            <w:vAlign w:val="center"/>
            <w:hideMark/>
          </w:tcPr>
          <w:p w14:paraId="7095157D" w14:textId="77777777" w:rsidR="0052133A" w:rsidRDefault="0052133A">
            <w:pPr>
              <w:rPr>
                <w:rFonts w:ascii="Times New Roman" w:eastAsia="Times New Roman" w:hAnsi="Times New Roman" w:cs="Times New Roman"/>
                <w:sz w:val="20"/>
                <w:szCs w:val="20"/>
              </w:rPr>
            </w:pPr>
          </w:p>
        </w:tc>
      </w:tr>
      <w:tr w:rsidR="0052133A" w14:paraId="4F79B8A0" w14:textId="77777777" w:rsidTr="00A7285A">
        <w:trPr>
          <w:trHeight w:val="8652"/>
          <w:jc w:val="center"/>
        </w:trPr>
        <w:tc>
          <w:tcPr>
            <w:tcW w:w="10934" w:type="dxa"/>
            <w:shd w:val="clear" w:color="auto" w:fill="auto"/>
            <w:tcMar>
              <w:top w:w="300" w:type="dxa"/>
              <w:left w:w="300" w:type="dxa"/>
              <w:bottom w:w="300" w:type="dxa"/>
              <w:right w:w="300" w:type="dxa"/>
            </w:tcMar>
            <w:vAlign w:val="center"/>
            <w:hideMark/>
          </w:tcPr>
          <w:p w14:paraId="4BC2475E" w14:textId="02A397C1" w:rsidR="0052133A" w:rsidRDefault="0052133A">
            <w:pPr>
              <w:shd w:val="clear" w:color="auto" w:fill="FFFFFF"/>
              <w:spacing w:after="120" w:line="252" w:lineRule="auto"/>
              <w:jc w:val="center"/>
              <w:rPr>
                <w:b/>
                <w:bCs/>
                <w:color w:val="000000"/>
                <w:sz w:val="28"/>
                <w:szCs w:val="28"/>
              </w:rPr>
            </w:pPr>
            <w:r>
              <w:rPr>
                <w:rFonts w:eastAsia="Times New Roman"/>
                <w:b/>
                <w:bCs/>
                <w:color w:val="000000"/>
                <w:shd w:val="clear" w:color="auto" w:fill="FFFFFF"/>
              </w:rPr>
              <w:br w:type="page"/>
            </w:r>
            <w:r>
              <w:rPr>
                <w:b/>
                <w:bCs/>
                <w:color w:val="000000"/>
                <w:sz w:val="28"/>
                <w:szCs w:val="28"/>
              </w:rPr>
              <w:t xml:space="preserve">Notice of Special Interest (NOSI) </w:t>
            </w:r>
            <w:r w:rsidR="004E7A35" w:rsidRPr="004E7A35">
              <w:rPr>
                <w:b/>
                <w:bCs/>
                <w:color w:val="000000"/>
                <w:sz w:val="28"/>
                <w:szCs w:val="28"/>
              </w:rPr>
              <w:t>NOT-CA-23-041</w:t>
            </w:r>
            <w:r w:rsidR="004E7A35">
              <w:rPr>
                <w:b/>
                <w:bCs/>
                <w:color w:val="000000"/>
                <w:sz w:val="28"/>
                <w:szCs w:val="28"/>
              </w:rPr>
              <w:t xml:space="preserve"> </w:t>
            </w:r>
          </w:p>
          <w:p w14:paraId="7738C733" w14:textId="13B43292" w:rsidR="0052133A" w:rsidRDefault="0052133A">
            <w:pPr>
              <w:shd w:val="clear" w:color="auto" w:fill="FFFFFF"/>
              <w:spacing w:after="240" w:line="252" w:lineRule="auto"/>
              <w:jc w:val="center"/>
              <w:rPr>
                <w:b/>
                <w:bCs/>
                <w:color w:val="000000"/>
                <w:sz w:val="36"/>
                <w:szCs w:val="36"/>
              </w:rPr>
            </w:pPr>
            <w:r>
              <w:rPr>
                <w:b/>
                <w:bCs/>
                <w:color w:val="000000"/>
                <w:sz w:val="36"/>
                <w:szCs w:val="36"/>
              </w:rPr>
              <w:t>Administrative Supplement</w:t>
            </w:r>
            <w:r w:rsidR="0026022C">
              <w:rPr>
                <w:b/>
                <w:bCs/>
                <w:color w:val="000000"/>
                <w:sz w:val="36"/>
                <w:szCs w:val="36"/>
              </w:rPr>
              <w:t>s</w:t>
            </w:r>
            <w:r>
              <w:rPr>
                <w:b/>
                <w:bCs/>
                <w:color w:val="000000"/>
                <w:sz w:val="36"/>
                <w:szCs w:val="36"/>
              </w:rPr>
              <w:t xml:space="preserve"> </w:t>
            </w:r>
            <w:r w:rsidR="004E7A35" w:rsidRPr="004E7A35">
              <w:rPr>
                <w:b/>
                <w:bCs/>
                <w:color w:val="000000"/>
                <w:sz w:val="36"/>
                <w:szCs w:val="36"/>
              </w:rPr>
              <w:t xml:space="preserve">to Examine </w:t>
            </w:r>
            <w:r w:rsidR="004E7A35">
              <w:rPr>
                <w:b/>
                <w:bCs/>
                <w:color w:val="000000"/>
                <w:sz w:val="36"/>
                <w:szCs w:val="36"/>
              </w:rPr>
              <w:t>t</w:t>
            </w:r>
            <w:r w:rsidR="004E7A35" w:rsidRPr="004E7A35">
              <w:rPr>
                <w:b/>
                <w:bCs/>
                <w:color w:val="000000"/>
                <w:sz w:val="36"/>
                <w:szCs w:val="36"/>
              </w:rPr>
              <w:t xml:space="preserve">he Effects </w:t>
            </w:r>
            <w:r w:rsidR="004E7A35">
              <w:rPr>
                <w:b/>
                <w:bCs/>
                <w:color w:val="000000"/>
                <w:sz w:val="36"/>
                <w:szCs w:val="36"/>
              </w:rPr>
              <w:t>o</w:t>
            </w:r>
            <w:r w:rsidR="004E7A35" w:rsidRPr="004E7A35">
              <w:rPr>
                <w:b/>
                <w:bCs/>
                <w:color w:val="000000"/>
                <w:sz w:val="36"/>
                <w:szCs w:val="36"/>
              </w:rPr>
              <w:t xml:space="preserve">f Digital Tools </w:t>
            </w:r>
            <w:r w:rsidR="004E7A35">
              <w:rPr>
                <w:b/>
                <w:bCs/>
                <w:color w:val="000000"/>
                <w:sz w:val="36"/>
                <w:szCs w:val="36"/>
              </w:rPr>
              <w:t>a</w:t>
            </w:r>
            <w:r w:rsidR="004E7A35" w:rsidRPr="004E7A35">
              <w:rPr>
                <w:b/>
                <w:bCs/>
                <w:color w:val="000000"/>
                <w:sz w:val="36"/>
                <w:szCs w:val="36"/>
              </w:rPr>
              <w:t xml:space="preserve">nd Interventions </w:t>
            </w:r>
            <w:r w:rsidR="004E7A35">
              <w:rPr>
                <w:b/>
                <w:bCs/>
                <w:color w:val="000000"/>
                <w:sz w:val="36"/>
                <w:szCs w:val="36"/>
              </w:rPr>
              <w:t>o</w:t>
            </w:r>
            <w:r w:rsidR="004E7A35" w:rsidRPr="004E7A35">
              <w:rPr>
                <w:b/>
                <w:bCs/>
                <w:color w:val="000000"/>
                <w:sz w:val="36"/>
                <w:szCs w:val="36"/>
              </w:rPr>
              <w:t xml:space="preserve">n Patient-Provider Communication Across </w:t>
            </w:r>
            <w:r w:rsidR="004E7A35">
              <w:rPr>
                <w:b/>
                <w:bCs/>
                <w:color w:val="000000"/>
                <w:sz w:val="36"/>
                <w:szCs w:val="36"/>
              </w:rPr>
              <w:t>t</w:t>
            </w:r>
            <w:r w:rsidR="004E7A35" w:rsidRPr="004E7A35">
              <w:rPr>
                <w:b/>
                <w:bCs/>
                <w:color w:val="000000"/>
                <w:sz w:val="36"/>
                <w:szCs w:val="36"/>
              </w:rPr>
              <w:t>he Cancer Control Continuum</w:t>
            </w:r>
          </w:p>
          <w:p w14:paraId="583ED880" w14:textId="77777777" w:rsidR="0052133A" w:rsidRDefault="0052133A">
            <w:pPr>
              <w:shd w:val="clear" w:color="auto" w:fill="FFFFFF"/>
              <w:spacing w:line="252" w:lineRule="auto"/>
              <w:jc w:val="center"/>
              <w:rPr>
                <w:b/>
                <w:bCs/>
                <w:color w:val="000000"/>
                <w:sz w:val="28"/>
                <w:szCs w:val="28"/>
              </w:rPr>
            </w:pPr>
            <w:r>
              <w:rPr>
                <w:b/>
                <w:bCs/>
                <w:color w:val="000000"/>
                <w:sz w:val="28"/>
                <w:szCs w:val="28"/>
              </w:rPr>
              <w:t xml:space="preserve">Application Deadline: </w:t>
            </w:r>
          </w:p>
          <w:p w14:paraId="7E0492C5" w14:textId="77777777" w:rsidR="0052133A" w:rsidRDefault="0052133A">
            <w:pPr>
              <w:shd w:val="clear" w:color="auto" w:fill="FFFFFF"/>
              <w:spacing w:line="252" w:lineRule="auto"/>
              <w:jc w:val="center"/>
              <w:rPr>
                <w:color w:val="000000"/>
                <w:sz w:val="28"/>
                <w:szCs w:val="28"/>
              </w:rPr>
            </w:pPr>
            <w:r>
              <w:rPr>
                <w:color w:val="000000"/>
                <w:sz w:val="28"/>
                <w:szCs w:val="28"/>
              </w:rPr>
              <w:t>Friday, April 21, 2023, by 5:00 PM</w:t>
            </w:r>
          </w:p>
          <w:p w14:paraId="107F7B77" w14:textId="353E4B84" w:rsidR="0052133A" w:rsidRDefault="00B01966">
            <w:pPr>
              <w:spacing w:before="120" w:after="240"/>
              <w:jc w:val="center"/>
              <w:textAlignment w:val="baseline"/>
              <w:rPr>
                <w:b/>
                <w:bCs/>
                <w:color w:val="4472C4"/>
                <w:sz w:val="28"/>
                <w:szCs w:val="28"/>
              </w:rPr>
            </w:pPr>
            <w:hyperlink r:id="rId7" w:history="1">
              <w:r w:rsidR="0052133A" w:rsidRPr="00254C7C">
                <w:rPr>
                  <w:rStyle w:val="Hyperlink"/>
                  <w:b/>
                  <w:bCs/>
                  <w:sz w:val="28"/>
                  <w:szCs w:val="28"/>
                </w:rPr>
                <w:t>Apply Here</w:t>
              </w:r>
            </w:hyperlink>
          </w:p>
          <w:p w14:paraId="05B04D4A" w14:textId="77777777" w:rsidR="0052133A" w:rsidRDefault="0052133A">
            <w:pPr>
              <w:shd w:val="clear" w:color="auto" w:fill="FFFFFF"/>
              <w:spacing w:after="240" w:line="252" w:lineRule="auto"/>
              <w:jc w:val="center"/>
            </w:pPr>
            <w:r>
              <w:rPr>
                <w:b/>
                <w:bCs/>
                <w:color w:val="000000"/>
              </w:rPr>
              <w:t>Purpose</w:t>
            </w:r>
          </w:p>
          <w:p w14:paraId="2AA829A7" w14:textId="03AD65DD" w:rsidR="00CF3951" w:rsidRPr="005C1964" w:rsidRDefault="005C1964" w:rsidP="00CF3951">
            <w:pPr>
              <w:rPr>
                <w:rFonts w:asciiTheme="minorHAnsi" w:eastAsia="Helvetica" w:hAnsiTheme="minorHAnsi" w:cstheme="minorHAnsi"/>
              </w:rPr>
            </w:pPr>
            <w:r w:rsidRPr="005C1964">
              <w:rPr>
                <w:rFonts w:asciiTheme="minorHAnsi" w:hAnsiTheme="minorHAnsi" w:cstheme="minorHAnsi"/>
              </w:rPr>
              <w:t xml:space="preserve">This NOSI is an opportunity for current </w:t>
            </w:r>
            <w:r w:rsidR="00B01966">
              <w:rPr>
                <w:rFonts w:asciiTheme="minorHAnsi" w:hAnsiTheme="minorHAnsi" w:cstheme="minorHAnsi"/>
              </w:rPr>
              <w:t xml:space="preserve">NCI </w:t>
            </w:r>
            <w:r w:rsidRPr="005C1964">
              <w:rPr>
                <w:rFonts w:asciiTheme="minorHAnsi" w:hAnsiTheme="minorHAnsi" w:cstheme="minorHAnsi"/>
              </w:rPr>
              <w:t>grantees to receive supplemental funding for research examining</w:t>
            </w:r>
            <w:r w:rsidRPr="005C1964">
              <w:rPr>
                <w:rFonts w:asciiTheme="minorHAnsi" w:hAnsiTheme="minorHAnsi" w:cstheme="minorHAnsi"/>
                <w:color w:val="000000"/>
              </w:rPr>
              <w:t xml:space="preserve"> </w:t>
            </w:r>
            <w:r w:rsidR="004E7A35" w:rsidRPr="005C1964">
              <w:rPr>
                <w:rFonts w:asciiTheme="minorHAnsi" w:hAnsiTheme="minorHAnsi" w:cstheme="minorHAnsi"/>
                <w:color w:val="000000"/>
              </w:rPr>
              <w:t xml:space="preserve">the effects of digital health tools and interventions on patient-provider communication across the cancer control continuum, </w:t>
            </w:r>
            <w:r w:rsidR="00B06BBC" w:rsidRPr="005C1964">
              <w:rPr>
                <w:rFonts w:asciiTheme="minorHAnsi" w:hAnsiTheme="minorHAnsi" w:cstheme="minorHAnsi"/>
                <w:color w:val="000000"/>
              </w:rPr>
              <w:t>with the aim of</w:t>
            </w:r>
            <w:r w:rsidR="004E7A35" w:rsidRPr="005C1964">
              <w:rPr>
                <w:rFonts w:asciiTheme="minorHAnsi" w:hAnsiTheme="minorHAnsi" w:cstheme="minorHAnsi"/>
                <w:color w:val="000000"/>
              </w:rPr>
              <w:t xml:space="preserve"> inform</w:t>
            </w:r>
            <w:r w:rsidR="00B06BBC" w:rsidRPr="005C1964">
              <w:rPr>
                <w:rFonts w:asciiTheme="minorHAnsi" w:hAnsiTheme="minorHAnsi" w:cstheme="minorHAnsi"/>
                <w:color w:val="000000"/>
              </w:rPr>
              <w:t>ing</w:t>
            </w:r>
            <w:r w:rsidR="004E7A35" w:rsidRPr="005C1964">
              <w:rPr>
                <w:rFonts w:asciiTheme="minorHAnsi" w:hAnsiTheme="minorHAnsi" w:cstheme="minorHAnsi"/>
                <w:color w:val="000000"/>
              </w:rPr>
              <w:t xml:space="preserve"> future efforts to</w:t>
            </w:r>
            <w:r w:rsidR="00B06BBC" w:rsidRPr="005C1964">
              <w:rPr>
                <w:rFonts w:asciiTheme="minorHAnsi" w:hAnsiTheme="minorHAnsi" w:cstheme="minorHAnsi"/>
                <w:color w:val="000000"/>
              </w:rPr>
              <w:t xml:space="preserve"> develop</w:t>
            </w:r>
            <w:r w:rsidR="004E7A35" w:rsidRPr="005C1964">
              <w:rPr>
                <w:rFonts w:asciiTheme="minorHAnsi" w:hAnsiTheme="minorHAnsi" w:cstheme="minorHAnsi"/>
                <w:color w:val="000000"/>
              </w:rPr>
              <w:t>, modif</w:t>
            </w:r>
            <w:r w:rsidR="00B06BBC" w:rsidRPr="005C1964">
              <w:rPr>
                <w:rFonts w:asciiTheme="minorHAnsi" w:hAnsiTheme="minorHAnsi" w:cstheme="minorHAnsi"/>
                <w:color w:val="000000"/>
              </w:rPr>
              <w:t>y</w:t>
            </w:r>
            <w:r w:rsidR="004E7A35" w:rsidRPr="005C1964">
              <w:rPr>
                <w:rFonts w:asciiTheme="minorHAnsi" w:hAnsiTheme="minorHAnsi" w:cstheme="minorHAnsi"/>
                <w:color w:val="000000"/>
              </w:rPr>
              <w:t>, and deliver digital tools/interventions for cancer prevention and control</w:t>
            </w:r>
            <w:r w:rsidR="00CF3951" w:rsidRPr="00254C7C">
              <w:rPr>
                <w:rFonts w:asciiTheme="minorHAnsi" w:hAnsiTheme="minorHAnsi" w:cstheme="minorHAnsi"/>
                <w:color w:val="000000"/>
              </w:rPr>
              <w:t xml:space="preserve">. </w:t>
            </w:r>
            <w:r w:rsidR="00CF3951" w:rsidRPr="00254C7C">
              <w:rPr>
                <w:rFonts w:asciiTheme="minorHAnsi" w:eastAsia="Helvetica" w:hAnsiTheme="minorHAnsi" w:cstheme="minorHAnsi"/>
              </w:rPr>
              <w:t>Th</w:t>
            </w:r>
            <w:r w:rsidRPr="00254C7C">
              <w:rPr>
                <w:rFonts w:asciiTheme="minorHAnsi" w:eastAsia="Helvetica" w:hAnsiTheme="minorHAnsi" w:cstheme="minorHAnsi"/>
              </w:rPr>
              <w:t>e goal of this</w:t>
            </w:r>
            <w:r w:rsidR="00CF3951" w:rsidRPr="00254C7C">
              <w:rPr>
                <w:rFonts w:asciiTheme="minorHAnsi" w:eastAsia="Helvetica" w:hAnsiTheme="minorHAnsi" w:cstheme="minorHAnsi"/>
              </w:rPr>
              <w:t xml:space="preserve"> administrative supplement </w:t>
            </w:r>
            <w:r w:rsidRPr="00254C7C">
              <w:rPr>
                <w:rFonts w:asciiTheme="minorHAnsi" w:eastAsia="Helvetica" w:hAnsiTheme="minorHAnsi" w:cstheme="minorHAnsi"/>
              </w:rPr>
              <w:t>is to support studies that seek to better understand</w:t>
            </w:r>
            <w:r w:rsidRPr="005C1964">
              <w:rPr>
                <w:rFonts w:asciiTheme="minorHAnsi" w:eastAsia="Helvetica" w:hAnsiTheme="minorHAnsi" w:cstheme="minorHAnsi"/>
              </w:rPr>
              <w:t xml:space="preserve"> </w:t>
            </w:r>
            <w:r w:rsidR="00CF3951" w:rsidRPr="005C1964">
              <w:rPr>
                <w:rFonts w:asciiTheme="minorHAnsi" w:eastAsia="Helvetica" w:hAnsiTheme="minorHAnsi" w:cstheme="minorHAnsi"/>
              </w:rPr>
              <w:t>(1) the effects of digital health tools/interventions on patient-provider communication, and</w:t>
            </w:r>
            <w:r w:rsidR="00236BF3" w:rsidRPr="005C1964">
              <w:rPr>
                <w:rFonts w:asciiTheme="minorHAnsi" w:eastAsia="Helvetica" w:hAnsiTheme="minorHAnsi" w:cstheme="minorHAnsi"/>
              </w:rPr>
              <w:t>/or</w:t>
            </w:r>
            <w:r w:rsidR="00CF3951" w:rsidRPr="005C1964">
              <w:rPr>
                <w:rFonts w:asciiTheme="minorHAnsi" w:eastAsia="Helvetica" w:hAnsiTheme="minorHAnsi" w:cstheme="minorHAnsi"/>
              </w:rPr>
              <w:t xml:space="preserve"> (2) how patient-provider communication influences the relationship between digital health tools/interventions and cancer prevention and control outcomes (such as care quality, health behavior, health equity</w:t>
            </w:r>
            <w:r w:rsidR="00236BF3" w:rsidRPr="005C1964">
              <w:rPr>
                <w:rFonts w:asciiTheme="minorHAnsi" w:eastAsia="Helvetica" w:hAnsiTheme="minorHAnsi" w:cstheme="minorHAnsi"/>
              </w:rPr>
              <w:t>, etc.</w:t>
            </w:r>
            <w:r w:rsidR="00CF3951" w:rsidRPr="005C1964">
              <w:rPr>
                <w:rFonts w:asciiTheme="minorHAnsi" w:eastAsia="Helvetica" w:hAnsiTheme="minorHAnsi" w:cstheme="minorHAnsi"/>
              </w:rPr>
              <w:t>).</w:t>
            </w:r>
            <w:r w:rsidR="00A7285A" w:rsidRPr="005C1964">
              <w:rPr>
                <w:rFonts w:asciiTheme="minorHAnsi" w:hAnsiTheme="minorHAnsi" w:cstheme="minorHAnsi"/>
              </w:rPr>
              <w:t xml:space="preserve"> Studies </w:t>
            </w:r>
            <w:r w:rsidR="00A7285A" w:rsidRPr="005C1964">
              <w:rPr>
                <w:rFonts w:asciiTheme="minorHAnsi" w:eastAsia="Helvetica" w:hAnsiTheme="minorHAnsi" w:cstheme="minorHAnsi"/>
              </w:rPr>
              <w:t xml:space="preserve">focusing on under-resourced settings and underserved populations </w:t>
            </w:r>
            <w:r w:rsidR="00A7285A" w:rsidRPr="005C1964">
              <w:rPr>
                <w:rStyle w:val="highlightanyCharacter"/>
                <w:rFonts w:asciiTheme="minorHAnsi" w:eastAsia="Helvetica" w:hAnsiTheme="minorHAnsi" w:cstheme="minorHAnsi"/>
                <w:shd w:val="clear" w:color="auto" w:fill="FFFFFF"/>
              </w:rPr>
              <w:t>are</w:t>
            </w:r>
            <w:r w:rsidR="00A7285A" w:rsidRPr="005C1964">
              <w:rPr>
                <w:rFonts w:asciiTheme="minorHAnsi" w:eastAsia="Helvetica" w:hAnsiTheme="minorHAnsi" w:cstheme="minorHAnsi"/>
              </w:rPr>
              <w:t xml:space="preserve"> of particular interest. </w:t>
            </w:r>
          </w:p>
          <w:p w14:paraId="23BE0D60" w14:textId="1052C656" w:rsidR="004E7A35" w:rsidRDefault="004E7A35">
            <w:pPr>
              <w:rPr>
                <w:color w:val="000000"/>
              </w:rPr>
            </w:pPr>
          </w:p>
          <w:p w14:paraId="0E930B80" w14:textId="77777777" w:rsidR="0052133A" w:rsidRDefault="0052133A">
            <w:pPr>
              <w:shd w:val="clear" w:color="auto" w:fill="FFFFFF"/>
              <w:spacing w:before="240" w:after="240" w:line="252" w:lineRule="auto"/>
              <w:jc w:val="center"/>
              <w:rPr>
                <w:b/>
                <w:bCs/>
                <w:color w:val="000000"/>
              </w:rPr>
            </w:pPr>
            <w:r>
              <w:rPr>
                <w:b/>
                <w:bCs/>
                <w:color w:val="000000"/>
              </w:rPr>
              <w:t>Who is eligible to apply?</w:t>
            </w:r>
          </w:p>
          <w:p w14:paraId="3C3F924D" w14:textId="4258DB5A" w:rsidR="00A7285A" w:rsidRPr="00A7285A" w:rsidRDefault="0052133A">
            <w:pPr>
              <w:shd w:val="clear" w:color="auto" w:fill="FFFFFF"/>
              <w:spacing w:after="240" w:line="252" w:lineRule="auto"/>
              <w:rPr>
                <w:rFonts w:asciiTheme="minorHAnsi" w:hAnsiTheme="minorHAnsi" w:cstheme="minorHAnsi"/>
              </w:rPr>
            </w:pPr>
            <w:r w:rsidRPr="00A7285A">
              <w:rPr>
                <w:rFonts w:asciiTheme="minorHAnsi" w:hAnsiTheme="minorHAnsi" w:cstheme="minorHAnsi"/>
              </w:rPr>
              <w:t xml:space="preserve">Principal Investigators that hold </w:t>
            </w:r>
            <w:r w:rsidR="00A7285A" w:rsidRPr="00A7285A">
              <w:rPr>
                <w:rFonts w:asciiTheme="minorHAnsi" w:eastAsia="Helvetica" w:hAnsiTheme="minorHAnsi" w:cstheme="minorHAnsi"/>
              </w:rPr>
              <w:t xml:space="preserve">an active NCI-funded R01, R37, R21, P01, P20, P30, P50, U01, UH3, U19, </w:t>
            </w:r>
            <w:r w:rsidR="00A7285A" w:rsidRPr="00A7285A">
              <w:rPr>
                <w:rStyle w:val="highlightanyCharacter"/>
                <w:rFonts w:asciiTheme="minorHAnsi" w:eastAsia="Helvetica" w:hAnsiTheme="minorHAnsi" w:cstheme="minorHAnsi"/>
                <w:shd w:val="clear" w:color="auto" w:fill="auto"/>
              </w:rPr>
              <w:t>o</w:t>
            </w:r>
            <w:r w:rsidR="00236BF3">
              <w:rPr>
                <w:rStyle w:val="highlightanyCharacter"/>
                <w:rFonts w:asciiTheme="minorHAnsi" w:eastAsia="Helvetica" w:hAnsiTheme="minorHAnsi" w:cstheme="minorHAnsi"/>
                <w:shd w:val="clear" w:color="auto" w:fill="auto"/>
              </w:rPr>
              <w:t xml:space="preserve">r </w:t>
            </w:r>
            <w:r w:rsidR="00A7285A" w:rsidRPr="00A7285A">
              <w:rPr>
                <w:rFonts w:asciiTheme="minorHAnsi" w:eastAsia="Helvetica" w:hAnsiTheme="minorHAnsi" w:cstheme="minorHAnsi"/>
              </w:rPr>
              <w:t>U54 are eligible to apply.</w:t>
            </w:r>
            <w:r w:rsidR="00A7285A">
              <w:t xml:space="preserve"> </w:t>
            </w:r>
            <w:r w:rsidR="005C1964" w:rsidRPr="005C1964">
              <w:rPr>
                <w:rFonts w:asciiTheme="minorHAnsi" w:eastAsia="Helvetica" w:hAnsiTheme="minorHAnsi" w:cstheme="minorHAnsi"/>
              </w:rPr>
              <w:t>The parent award must have sufficient time (minimum one year) remaining on it after the supplement has been awarded to allow the proposed supplement study to be completed within the existing project period</w:t>
            </w:r>
            <w:r w:rsidR="00A7285A" w:rsidRPr="00A7285A">
              <w:rPr>
                <w:rFonts w:asciiTheme="minorHAnsi" w:eastAsia="Helvetica" w:hAnsiTheme="minorHAnsi" w:cstheme="minorHAnsi"/>
              </w:rPr>
              <w:t>. Requests for no-cost extensions on the parent grant to accommodate a supplement will not be permitted.</w:t>
            </w:r>
          </w:p>
          <w:p w14:paraId="3A4B6ECF" w14:textId="77777777" w:rsidR="00A7285A" w:rsidRDefault="00A7285A">
            <w:pPr>
              <w:shd w:val="clear" w:color="auto" w:fill="FFFFFF"/>
              <w:spacing w:after="240" w:line="252" w:lineRule="auto"/>
              <w:rPr>
                <w:color w:val="000000"/>
              </w:rPr>
            </w:pPr>
          </w:p>
          <w:p w14:paraId="69ADE6BC" w14:textId="77777777" w:rsidR="0052133A" w:rsidRDefault="0052133A">
            <w:pPr>
              <w:shd w:val="clear" w:color="auto" w:fill="FFFFFF"/>
              <w:spacing w:after="240" w:line="252" w:lineRule="auto"/>
              <w:jc w:val="center"/>
              <w:rPr>
                <w:rFonts w:ascii="Helvetica" w:hAnsi="Helvetica" w:cs="Helvetica"/>
                <w:color w:val="333333"/>
                <w:sz w:val="20"/>
                <w:szCs w:val="20"/>
              </w:rPr>
            </w:pPr>
            <w:r>
              <w:rPr>
                <w:color w:val="000000"/>
              </w:rPr>
              <w:t xml:space="preserve">For more instructions on how to apply, please visit: </w:t>
            </w:r>
            <w:r>
              <w:rPr>
                <w:color w:val="000000"/>
              </w:rPr>
              <w:br/>
            </w:r>
            <w:hyperlink r:id="rId8" w:history="1">
              <w:r>
                <w:rPr>
                  <w:rStyle w:val="Hyperlink"/>
                </w:rPr>
                <w:t>https://grants.nih.gov/grants/how-to-apply-application-guide.html</w:t>
              </w:r>
            </w:hyperlink>
          </w:p>
        </w:tc>
      </w:tr>
    </w:tbl>
    <w:p w14:paraId="49231423" w14:textId="77777777" w:rsidR="00441546" w:rsidRDefault="00441546"/>
    <w:sectPr w:rsidR="004415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133A"/>
    <w:rsid w:val="00233A85"/>
    <w:rsid w:val="00236BF3"/>
    <w:rsid w:val="00254C7C"/>
    <w:rsid w:val="0026022C"/>
    <w:rsid w:val="00441546"/>
    <w:rsid w:val="004E1850"/>
    <w:rsid w:val="004E7A35"/>
    <w:rsid w:val="0052133A"/>
    <w:rsid w:val="005C1964"/>
    <w:rsid w:val="006D5AC4"/>
    <w:rsid w:val="00A7285A"/>
    <w:rsid w:val="00B01966"/>
    <w:rsid w:val="00B06BBC"/>
    <w:rsid w:val="00C341DA"/>
    <w:rsid w:val="00CF39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19E25"/>
  <w15:chartTrackingRefBased/>
  <w15:docId w15:val="{4487997F-9133-4F22-BFB5-D4E5F5F46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133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133A"/>
    <w:rPr>
      <w:color w:val="0563C1"/>
      <w:u w:val="single"/>
    </w:rPr>
  </w:style>
  <w:style w:type="character" w:styleId="CommentReference">
    <w:name w:val="annotation reference"/>
    <w:basedOn w:val="DefaultParagraphFont"/>
    <w:uiPriority w:val="99"/>
    <w:semiHidden/>
    <w:unhideWhenUsed/>
    <w:rsid w:val="004E7A35"/>
    <w:rPr>
      <w:sz w:val="16"/>
      <w:szCs w:val="16"/>
    </w:rPr>
  </w:style>
  <w:style w:type="paragraph" w:styleId="CommentText">
    <w:name w:val="annotation text"/>
    <w:basedOn w:val="Normal"/>
    <w:link w:val="CommentTextChar"/>
    <w:uiPriority w:val="99"/>
    <w:semiHidden/>
    <w:unhideWhenUsed/>
    <w:rsid w:val="004E7A35"/>
    <w:rPr>
      <w:sz w:val="20"/>
      <w:szCs w:val="20"/>
    </w:rPr>
  </w:style>
  <w:style w:type="character" w:customStyle="1" w:styleId="CommentTextChar">
    <w:name w:val="Comment Text Char"/>
    <w:basedOn w:val="DefaultParagraphFont"/>
    <w:link w:val="CommentText"/>
    <w:uiPriority w:val="99"/>
    <w:semiHidden/>
    <w:rsid w:val="004E7A35"/>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4E7A35"/>
    <w:rPr>
      <w:b/>
      <w:bCs/>
    </w:rPr>
  </w:style>
  <w:style w:type="character" w:customStyle="1" w:styleId="CommentSubjectChar">
    <w:name w:val="Comment Subject Char"/>
    <w:basedOn w:val="CommentTextChar"/>
    <w:link w:val="CommentSubject"/>
    <w:uiPriority w:val="99"/>
    <w:semiHidden/>
    <w:rsid w:val="004E7A35"/>
    <w:rPr>
      <w:rFonts w:ascii="Calibri" w:hAnsi="Calibri" w:cs="Calibri"/>
      <w:b/>
      <w:bCs/>
      <w:sz w:val="20"/>
      <w:szCs w:val="20"/>
    </w:rPr>
  </w:style>
  <w:style w:type="character" w:customStyle="1" w:styleId="highlightanyCharacter">
    <w:name w:val="highlight_any Character"/>
    <w:basedOn w:val="DefaultParagraphFont"/>
    <w:rsid w:val="00B06BBC"/>
    <w:rPr>
      <w:shd w:val="clear" w:color="auto" w:fill="FFF7D5"/>
    </w:rPr>
  </w:style>
  <w:style w:type="paragraph" w:customStyle="1" w:styleId="highlightany">
    <w:name w:val="highlight_any"/>
    <w:basedOn w:val="Normal"/>
    <w:rsid w:val="00CF3951"/>
    <w:pPr>
      <w:shd w:val="clear" w:color="auto" w:fill="FFF7D5"/>
    </w:pPr>
    <w:rPr>
      <w:rFonts w:ascii="Verdana" w:eastAsia="Times New Roman" w:hAnsi="Verdana" w:cs="Times New Roman"/>
      <w:color w:val="000000"/>
      <w:sz w:val="18"/>
      <w:szCs w:val="26"/>
    </w:rPr>
  </w:style>
  <w:style w:type="character" w:styleId="UnresolvedMention">
    <w:name w:val="Unresolved Mention"/>
    <w:basedOn w:val="DefaultParagraphFont"/>
    <w:uiPriority w:val="99"/>
    <w:semiHidden/>
    <w:unhideWhenUsed/>
    <w:rsid w:val="00254C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526468">
      <w:bodyDiv w:val="1"/>
      <w:marLeft w:val="0"/>
      <w:marRight w:val="0"/>
      <w:marTop w:val="0"/>
      <w:marBottom w:val="0"/>
      <w:divBdr>
        <w:top w:val="none" w:sz="0" w:space="0" w:color="auto"/>
        <w:left w:val="none" w:sz="0" w:space="0" w:color="auto"/>
        <w:bottom w:val="none" w:sz="0" w:space="0" w:color="auto"/>
        <w:right w:val="none" w:sz="0" w:space="0" w:color="auto"/>
      </w:divBdr>
    </w:div>
    <w:div w:id="1261179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rants.nih.gov/grants/how-to-apply-application-guide.html" TargetMode="External"/><Relationship Id="rId3" Type="http://schemas.openxmlformats.org/officeDocument/2006/relationships/webSettings" Target="webSettings.xml"/><Relationship Id="rId7" Type="http://schemas.openxmlformats.org/officeDocument/2006/relationships/hyperlink" Target="https://grants.nih.gov/grants/guide/notice-files/NOT-CA-23-041.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cid:image003.png@01D94A89.B15DA6A0"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hyperlink" Target="http://www.cancer.gov/"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288</Words>
  <Characters>1643</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Vandor, Stacey (NIH/NCI) [E]</dc:creator>
  <cp:keywords/>
  <dc:description/>
  <cp:lastModifiedBy>Vanderpool, Robin (NIH/NCI) [E]</cp:lastModifiedBy>
  <cp:revision>2</cp:revision>
  <dcterms:created xsi:type="dcterms:W3CDTF">2023-03-02T14:37:00Z</dcterms:created>
  <dcterms:modified xsi:type="dcterms:W3CDTF">2023-03-02T14:37:00Z</dcterms:modified>
</cp:coreProperties>
</file>