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A6F3" w14:textId="13283865" w:rsidR="00826ED4" w:rsidRPr="009B23D3" w:rsidRDefault="009F398F" w:rsidP="00826ED4">
      <w:pPr>
        <w:rPr>
          <w:rFonts w:cstheme="minorHAnsi"/>
          <w:sz w:val="22"/>
          <w:szCs w:val="22"/>
        </w:rPr>
      </w:pPr>
      <w:r w:rsidRPr="009B23D3">
        <w:rPr>
          <w:b/>
          <w:sz w:val="22"/>
          <w:szCs w:val="22"/>
        </w:rPr>
        <w:t xml:space="preserve">Administrative Supplements for the NCI P30 Cancer Center Support Grants to </w:t>
      </w:r>
      <w:r w:rsidR="00826ED4" w:rsidRPr="009B23D3">
        <w:rPr>
          <w:rFonts w:cstheme="minorHAnsi"/>
          <w:b/>
          <w:bCs/>
          <w:color w:val="000000"/>
          <w:sz w:val="22"/>
          <w:szCs w:val="22"/>
        </w:rPr>
        <w:t xml:space="preserve">investigate </w:t>
      </w:r>
      <w:r w:rsidR="002F7DAB" w:rsidRPr="009B23D3">
        <w:rPr>
          <w:rFonts w:cstheme="minorHAnsi"/>
          <w:b/>
          <w:bCs/>
          <w:color w:val="000000"/>
          <w:sz w:val="22"/>
          <w:szCs w:val="22"/>
        </w:rPr>
        <w:t xml:space="preserve">vaccine hesitancy related to </w:t>
      </w:r>
      <w:r w:rsidR="00826ED4" w:rsidRPr="009B23D3">
        <w:rPr>
          <w:rFonts w:cstheme="minorHAnsi"/>
          <w:b/>
          <w:bCs/>
          <w:color w:val="000000"/>
          <w:sz w:val="22"/>
          <w:szCs w:val="22"/>
        </w:rPr>
        <w:t>uptake of the HPV vaccine in regions with low adolescent HPV vaccination rates</w:t>
      </w:r>
    </w:p>
    <w:p w14:paraId="78BBBD8D" w14:textId="77777777" w:rsidR="00D94355" w:rsidRPr="00F83F9E" w:rsidRDefault="00D94355" w:rsidP="00826ED4">
      <w:pPr>
        <w:rPr>
          <w:rFonts w:cstheme="minorHAnsi"/>
          <w:b/>
          <w:bCs/>
          <w:color w:val="000000"/>
          <w:sz w:val="22"/>
          <w:szCs w:val="22"/>
        </w:rPr>
      </w:pPr>
    </w:p>
    <w:p w14:paraId="049C8023" w14:textId="57D6E16C" w:rsidR="00826ED4" w:rsidRPr="00F83F9E" w:rsidRDefault="00826ED4" w:rsidP="00826ED4">
      <w:pPr>
        <w:rPr>
          <w:rFonts w:cstheme="minorHAnsi"/>
          <w:sz w:val="22"/>
          <w:szCs w:val="22"/>
        </w:rPr>
      </w:pPr>
      <w:r w:rsidRPr="00F83F9E">
        <w:rPr>
          <w:rFonts w:cstheme="minorHAnsi"/>
          <w:b/>
          <w:bCs/>
          <w:color w:val="000000"/>
          <w:sz w:val="22"/>
          <w:szCs w:val="22"/>
        </w:rPr>
        <w:t>Background</w:t>
      </w:r>
    </w:p>
    <w:p w14:paraId="1B493932" w14:textId="5F784DBF" w:rsidR="00C014B8" w:rsidRPr="00F83F9E" w:rsidRDefault="00FA0A0C" w:rsidP="00FA0A0C">
      <w:pPr>
        <w:rPr>
          <w:rFonts w:cstheme="minorHAnsi"/>
          <w:sz w:val="22"/>
          <w:szCs w:val="22"/>
        </w:rPr>
      </w:pPr>
      <w:r w:rsidRPr="00F83F9E">
        <w:rPr>
          <w:rFonts w:cstheme="minorHAnsi"/>
          <w:sz w:val="22"/>
          <w:szCs w:val="22"/>
        </w:rPr>
        <w:t>In January 2019, the World Health Organization (WHO) released a list of</w:t>
      </w:r>
      <w:r w:rsidR="00C014B8" w:rsidRPr="00F83F9E">
        <w:rPr>
          <w:rFonts w:cstheme="minorHAnsi"/>
          <w:sz w:val="22"/>
          <w:szCs w:val="22"/>
        </w:rPr>
        <w:t xml:space="preserve"> ten</w:t>
      </w:r>
      <w:r w:rsidRPr="00F83F9E">
        <w:rPr>
          <w:rFonts w:cstheme="minorHAnsi"/>
          <w:sz w:val="22"/>
          <w:szCs w:val="22"/>
        </w:rPr>
        <w:t xml:space="preserve"> global health threats that included vaccine hesitancy</w:t>
      </w:r>
      <w:r w:rsidR="00C014B8" w:rsidRPr="00F83F9E">
        <w:rPr>
          <w:rFonts w:cstheme="minorHAnsi"/>
          <w:sz w:val="22"/>
          <w:szCs w:val="22"/>
        </w:rPr>
        <w:t>, placing it on the same threat level as climate change</w:t>
      </w:r>
      <w:r w:rsidRPr="00F83F9E">
        <w:rPr>
          <w:rFonts w:cstheme="minorHAnsi"/>
          <w:sz w:val="22"/>
          <w:szCs w:val="22"/>
        </w:rPr>
        <w:t xml:space="preserve"> (WHO/Rada Akbar. </w:t>
      </w:r>
      <w:r w:rsidRPr="00F83F9E">
        <w:rPr>
          <w:rFonts w:cstheme="minorHAnsi"/>
          <w:i/>
          <w:sz w:val="22"/>
          <w:szCs w:val="22"/>
        </w:rPr>
        <w:t xml:space="preserve">Ten Threats to Global Health in 2019. </w:t>
      </w:r>
      <w:hyperlink w:history="1">
        <w:r w:rsidR="00F83F9E" w:rsidRPr="00F83F9E">
          <w:rPr>
            <w:rStyle w:val="Hyperlink"/>
            <w:rFonts w:cstheme="minorHAnsi"/>
            <w:sz w:val="22"/>
            <w:szCs w:val="22"/>
          </w:rPr>
          <w:t xml:space="preserve"> www.who.int/emergencies/ten-threats-to-global-health-in-2019</w:t>
        </w:r>
      </w:hyperlink>
      <w:r w:rsidRPr="00F83F9E">
        <w:rPr>
          <w:rFonts w:cstheme="minorHAnsi"/>
          <w:sz w:val="22"/>
          <w:szCs w:val="22"/>
        </w:rPr>
        <w:t xml:space="preserve">). WHO described vaccine hesitancy as “the reluctance or refusal to vaccinate despite the availability of vaccines and threatens to reverse progress made in tackling vaccine-preventable diseases.” </w:t>
      </w:r>
    </w:p>
    <w:p w14:paraId="74C102D3" w14:textId="77777777" w:rsidR="00C014B8" w:rsidRPr="00F83F9E" w:rsidRDefault="00C014B8" w:rsidP="00FA0A0C">
      <w:pPr>
        <w:rPr>
          <w:rFonts w:cstheme="minorHAnsi"/>
          <w:sz w:val="22"/>
          <w:szCs w:val="22"/>
        </w:rPr>
      </w:pPr>
    </w:p>
    <w:p w14:paraId="3193D266" w14:textId="714E2B77" w:rsidR="00FA0A0C" w:rsidRPr="00F83F9E" w:rsidRDefault="00C014B8" w:rsidP="00FA0A0C">
      <w:pPr>
        <w:rPr>
          <w:rFonts w:cstheme="minorHAnsi"/>
          <w:sz w:val="22"/>
          <w:szCs w:val="22"/>
        </w:rPr>
      </w:pPr>
      <w:r w:rsidRPr="00B85560">
        <w:rPr>
          <w:rFonts w:cstheme="minorHAnsi"/>
          <w:sz w:val="22"/>
          <w:szCs w:val="22"/>
        </w:rPr>
        <w:t xml:space="preserve">HPV </w:t>
      </w:r>
      <w:r w:rsidRPr="00F83F9E">
        <w:rPr>
          <w:rFonts w:cstheme="minorHAnsi"/>
          <w:sz w:val="22"/>
          <w:szCs w:val="22"/>
        </w:rPr>
        <w:t>vaccine uptake rates in the US continue to be well below established goals – 2018 data from the NIS Teen survey show just over 50% of adolescents ages 13-17 were fully vaccinated against HPV in 2018. (</w:t>
      </w:r>
      <w:hyperlink r:id="rId6" w:history="1">
        <w:r w:rsidR="00F83F9E" w:rsidRPr="00F83F9E">
          <w:rPr>
            <w:rStyle w:val="Hyperlink"/>
            <w:rFonts w:cstheme="minorHAnsi"/>
            <w:sz w:val="22"/>
            <w:szCs w:val="22"/>
          </w:rPr>
          <w:t>https://www.cdc.gov/mmwr/volumes/68/wr/mm6833a2.htm?s_cid=mm6833a2_w</w:t>
        </w:r>
      </w:hyperlink>
      <w:r w:rsidRPr="00F83F9E">
        <w:rPr>
          <w:rFonts w:cstheme="minorHAnsi"/>
          <w:sz w:val="22"/>
          <w:szCs w:val="22"/>
        </w:rPr>
        <w:t>)</w:t>
      </w:r>
      <w:r w:rsidR="00A234C4" w:rsidRPr="00F83F9E">
        <w:rPr>
          <w:rFonts w:cstheme="minorHAnsi"/>
          <w:sz w:val="22"/>
          <w:szCs w:val="22"/>
        </w:rPr>
        <w:t>.</w:t>
      </w:r>
      <w:r w:rsidR="000268BD" w:rsidRPr="00B85560">
        <w:rPr>
          <w:rFonts w:cstheme="minorHAnsi"/>
          <w:sz w:val="22"/>
          <w:szCs w:val="22"/>
        </w:rPr>
        <w:t xml:space="preserve"> </w:t>
      </w:r>
      <w:r w:rsidR="00A234C4" w:rsidRPr="00F83F9E">
        <w:rPr>
          <w:rFonts w:cstheme="minorHAnsi"/>
          <w:color w:val="221E1F"/>
          <w:sz w:val="22"/>
          <w:szCs w:val="22"/>
        </w:rPr>
        <w:t>The Centers for Disease Control and Prevention (CDC) estimates that increasing HPV vaccination rates from current levels to 80 percent would prevent an additional 53,000 future cervical cancer cases in the United States among girls who are currently 12 years old or younger over the course of their lives. Thousands of cases of other HPV-associated cancers in the U.S. would also likely be prevented within the same timeframe.</w:t>
      </w:r>
    </w:p>
    <w:p w14:paraId="44067CBB" w14:textId="77777777" w:rsidR="00C014B8" w:rsidRPr="00F83F9E" w:rsidRDefault="00C014B8" w:rsidP="00826ED4">
      <w:pPr>
        <w:rPr>
          <w:rFonts w:cstheme="minorHAnsi"/>
          <w:color w:val="221E1F"/>
          <w:sz w:val="22"/>
          <w:szCs w:val="22"/>
        </w:rPr>
      </w:pPr>
    </w:p>
    <w:p w14:paraId="02EC5EB7" w14:textId="3D30ECBC" w:rsidR="00826ED4" w:rsidRPr="00F83F9E" w:rsidRDefault="00826ED4" w:rsidP="00826ED4">
      <w:pPr>
        <w:rPr>
          <w:rFonts w:cstheme="minorHAnsi"/>
          <w:sz w:val="22"/>
          <w:szCs w:val="22"/>
        </w:rPr>
      </w:pPr>
      <w:r w:rsidRPr="00F83F9E">
        <w:rPr>
          <w:rFonts w:cstheme="minorHAnsi"/>
          <w:color w:val="221E1F"/>
          <w:sz w:val="22"/>
          <w:szCs w:val="22"/>
        </w:rPr>
        <w:t>In 2016, the Vice President’s Cancer Moonshot was established with a goal of achieving “a decade’s worth of progress in preventing, diagnosing, and treating cancer in five years, ultimately striving to end cancer as we know it.” The</w:t>
      </w:r>
      <w:hyperlink r:id="rId7" w:history="1">
        <w:r w:rsidRPr="00F83F9E">
          <w:rPr>
            <w:rFonts w:cstheme="minorHAnsi"/>
            <w:color w:val="221E1F"/>
            <w:sz w:val="22"/>
            <w:szCs w:val="22"/>
          </w:rPr>
          <w:t xml:space="preserve"> </w:t>
        </w:r>
        <w:r w:rsidRPr="00F83F9E">
          <w:rPr>
            <w:rFonts w:cstheme="minorHAnsi"/>
            <w:color w:val="1155CC"/>
            <w:sz w:val="22"/>
            <w:szCs w:val="22"/>
            <w:u w:val="single"/>
          </w:rPr>
          <w:t>Cancer Moonshot Blue</w:t>
        </w:r>
        <w:r w:rsidR="00446F61" w:rsidRPr="00F83F9E">
          <w:rPr>
            <w:rFonts w:cstheme="minorHAnsi"/>
            <w:color w:val="1155CC"/>
            <w:sz w:val="22"/>
            <w:szCs w:val="22"/>
            <w:u w:val="single"/>
          </w:rPr>
          <w:t xml:space="preserve"> </w:t>
        </w:r>
        <w:r w:rsidRPr="00F83F9E">
          <w:rPr>
            <w:rFonts w:cstheme="minorHAnsi"/>
            <w:color w:val="1155CC"/>
            <w:sz w:val="22"/>
            <w:szCs w:val="22"/>
            <w:u w:val="single"/>
          </w:rPr>
          <w:t>Ribbon Panel Report</w:t>
        </w:r>
      </w:hyperlink>
      <w:r w:rsidRPr="00F83F9E">
        <w:rPr>
          <w:rFonts w:cstheme="minorHAnsi"/>
          <w:color w:val="221E1F"/>
          <w:sz w:val="22"/>
          <w:szCs w:val="22"/>
        </w:rPr>
        <w:t xml:space="preserve"> highlights increasing HPV vacci</w:t>
      </w:r>
      <w:r w:rsidR="000A744D" w:rsidRPr="00F83F9E">
        <w:rPr>
          <w:rFonts w:cstheme="minorHAnsi"/>
          <w:color w:val="221E1F"/>
          <w:sz w:val="22"/>
          <w:szCs w:val="22"/>
        </w:rPr>
        <w:t xml:space="preserve">nation as an area in which the </w:t>
      </w:r>
      <w:r w:rsidRPr="00F83F9E">
        <w:rPr>
          <w:rFonts w:cstheme="minorHAnsi"/>
          <w:color w:val="221E1F"/>
          <w:sz w:val="22"/>
          <w:szCs w:val="22"/>
        </w:rPr>
        <w:t>effectiveness for cancer prevention is well known, but where implementation is unacceptably low. Advances in implementation would prevent additional cancer cases and unnecessary deaths. Implementation research is needed to accelerate the development and testing of effective strategies to achieve wider adoption and sustainability of evidence-based approaches, especially among populations that suffer a disproportionate burden of HPV-related cancers.</w:t>
      </w:r>
    </w:p>
    <w:p w14:paraId="6688F928" w14:textId="77777777" w:rsidR="0022463D" w:rsidRPr="00B85560" w:rsidRDefault="0022463D" w:rsidP="00826ED4">
      <w:pPr>
        <w:rPr>
          <w:rFonts w:cstheme="minorHAnsi"/>
          <w:color w:val="221E1F"/>
          <w:sz w:val="22"/>
          <w:szCs w:val="22"/>
        </w:rPr>
      </w:pPr>
    </w:p>
    <w:p w14:paraId="56C3D50B" w14:textId="4C65F731" w:rsidR="000300F6" w:rsidRPr="00F83F9E" w:rsidRDefault="000300F6" w:rsidP="00826ED4">
      <w:pPr>
        <w:rPr>
          <w:rFonts w:cstheme="minorHAnsi"/>
          <w:color w:val="221E1F"/>
          <w:sz w:val="22"/>
          <w:szCs w:val="22"/>
        </w:rPr>
      </w:pPr>
      <w:r w:rsidRPr="00F83F9E">
        <w:rPr>
          <w:rFonts w:cstheme="minorHAnsi"/>
          <w:color w:val="221E1F"/>
          <w:sz w:val="22"/>
          <w:szCs w:val="22"/>
        </w:rPr>
        <w:t>Prior cancer center supplements</w:t>
      </w:r>
      <w:r w:rsidR="009446D6" w:rsidRPr="00F83F9E">
        <w:rPr>
          <w:rFonts w:cstheme="minorHAnsi"/>
          <w:color w:val="221E1F"/>
          <w:sz w:val="22"/>
          <w:szCs w:val="22"/>
        </w:rPr>
        <w:t xml:space="preserve"> on HPV vaccine</w:t>
      </w:r>
      <w:r w:rsidRPr="00F83F9E">
        <w:rPr>
          <w:rFonts w:cstheme="minorHAnsi"/>
          <w:color w:val="221E1F"/>
          <w:sz w:val="22"/>
          <w:szCs w:val="22"/>
        </w:rPr>
        <w:t xml:space="preserve"> have focused on missed clinical opportunities and the quality of the provider recommendation for the vaccine. Although those factors continue to be important, the most recent CDC reports on HPV vaccination rates stressed that “…</w:t>
      </w:r>
      <w:r w:rsidRPr="00F83F9E">
        <w:rPr>
          <w:rFonts w:cstheme="minorHAnsi"/>
          <w:color w:val="000000"/>
          <w:sz w:val="22"/>
          <w:szCs w:val="22"/>
          <w:shd w:val="clear" w:color="auto" w:fill="FFFFFF"/>
        </w:rPr>
        <w:t xml:space="preserve"> even when a provider recommendation was given, only 75% accepted the vaccine, suggesting that there are other reasons adolescents are not being vaccinated. Equipping providers with the tools they need to give strong recommendations that emphasize the importance of HPV vaccination in preventing cancer and effectively address parental concerns is a priority, especially in states where provider recommendations were less commonly reported.</w:t>
      </w:r>
    </w:p>
    <w:p w14:paraId="5DF410A3" w14:textId="77777777" w:rsidR="00D94355" w:rsidRPr="00F83F9E" w:rsidRDefault="00D94355" w:rsidP="00826ED4">
      <w:pPr>
        <w:rPr>
          <w:rFonts w:cstheme="minorHAnsi"/>
          <w:sz w:val="22"/>
          <w:szCs w:val="22"/>
        </w:rPr>
      </w:pPr>
    </w:p>
    <w:p w14:paraId="7B69C614" w14:textId="098CD88F" w:rsidR="00826ED4" w:rsidRPr="00F83F9E" w:rsidRDefault="00EA3D4F" w:rsidP="00826ED4">
      <w:pPr>
        <w:spacing w:after="160"/>
        <w:rPr>
          <w:rFonts w:cstheme="minorHAnsi"/>
          <w:sz w:val="22"/>
          <w:szCs w:val="22"/>
        </w:rPr>
      </w:pPr>
      <w:r w:rsidRPr="00F83F9E">
        <w:rPr>
          <w:rFonts w:cstheme="minorHAnsi"/>
          <w:color w:val="000000"/>
          <w:sz w:val="22"/>
          <w:szCs w:val="22"/>
          <w:shd w:val="clear" w:color="auto" w:fill="FFFFFF"/>
        </w:rPr>
        <w:t>In 2018, n</w:t>
      </w:r>
      <w:r w:rsidR="00826ED4" w:rsidRPr="00F83F9E">
        <w:rPr>
          <w:rFonts w:cstheme="minorHAnsi"/>
          <w:color w:val="000000"/>
          <w:sz w:val="22"/>
          <w:szCs w:val="22"/>
          <w:shd w:val="clear" w:color="auto" w:fill="FFFFFF"/>
        </w:rPr>
        <w:t>ationwide</w:t>
      </w:r>
      <w:r w:rsidRPr="00F83F9E">
        <w:rPr>
          <w:rFonts w:cstheme="minorHAnsi"/>
          <w:color w:val="000000"/>
          <w:sz w:val="22"/>
          <w:szCs w:val="22"/>
          <w:shd w:val="clear" w:color="auto" w:fill="FFFFFF"/>
        </w:rPr>
        <w:t>,</w:t>
      </w:r>
      <w:r w:rsidR="00826ED4" w:rsidRPr="00F83F9E">
        <w:rPr>
          <w:rFonts w:cstheme="minorHAnsi"/>
          <w:color w:val="000000"/>
          <w:sz w:val="22"/>
          <w:szCs w:val="22"/>
          <w:shd w:val="clear" w:color="auto" w:fill="FFFFFF"/>
        </w:rPr>
        <w:t xml:space="preserve"> the number of 13- to 17-year-old boys and girls getting the human papillomavirus (HPV) vaccine </w:t>
      </w:r>
      <w:r w:rsidR="007C0C48" w:rsidRPr="00F83F9E">
        <w:rPr>
          <w:rFonts w:cstheme="minorHAnsi"/>
          <w:color w:val="000000"/>
          <w:sz w:val="22"/>
          <w:szCs w:val="22"/>
          <w:shd w:val="clear" w:color="auto" w:fill="FFFFFF"/>
        </w:rPr>
        <w:t xml:space="preserve">remained steady with previous years’ assessments, </w:t>
      </w:r>
      <w:r w:rsidR="00826ED4" w:rsidRPr="00F83F9E">
        <w:rPr>
          <w:rFonts w:cstheme="minorHAnsi"/>
          <w:color w:val="000000"/>
          <w:sz w:val="22"/>
          <w:szCs w:val="22"/>
          <w:shd w:val="clear" w:color="auto" w:fill="FFFFFF"/>
        </w:rPr>
        <w:t>per data from CDC’s 201</w:t>
      </w:r>
      <w:r w:rsidR="007C0C48" w:rsidRPr="00F83F9E">
        <w:rPr>
          <w:rFonts w:cstheme="minorHAnsi"/>
          <w:color w:val="000000"/>
          <w:sz w:val="22"/>
          <w:szCs w:val="22"/>
          <w:shd w:val="clear" w:color="auto" w:fill="FFFFFF"/>
        </w:rPr>
        <w:t>8</w:t>
      </w:r>
      <w:r w:rsidR="00826ED4" w:rsidRPr="00F83F9E">
        <w:rPr>
          <w:rFonts w:cstheme="minorHAnsi"/>
          <w:color w:val="000000"/>
          <w:sz w:val="22"/>
          <w:szCs w:val="22"/>
          <w:shd w:val="clear" w:color="auto" w:fill="FFFFFF"/>
        </w:rPr>
        <w:t xml:space="preserve"> National Immunization Survey-Teen (NIS-Teen) (MMWR, </w:t>
      </w:r>
      <w:r w:rsidR="007C0C48" w:rsidRPr="00F83F9E">
        <w:rPr>
          <w:rFonts w:cstheme="minorHAnsi"/>
          <w:color w:val="000000"/>
          <w:sz w:val="22"/>
          <w:szCs w:val="22"/>
          <w:shd w:val="clear" w:color="auto" w:fill="FFFFFF"/>
        </w:rPr>
        <w:t>August 2</w:t>
      </w:r>
      <w:r w:rsidR="00826ED4" w:rsidRPr="00F83F9E">
        <w:rPr>
          <w:rFonts w:cstheme="minorHAnsi"/>
          <w:color w:val="000000"/>
          <w:sz w:val="22"/>
          <w:szCs w:val="22"/>
          <w:shd w:val="clear" w:color="auto" w:fill="FFFFFF"/>
        </w:rPr>
        <w:t>3, 201</w:t>
      </w:r>
      <w:r w:rsidR="007C0C48" w:rsidRPr="00F83F9E">
        <w:rPr>
          <w:rFonts w:cstheme="minorHAnsi"/>
          <w:color w:val="000000"/>
          <w:sz w:val="22"/>
          <w:szCs w:val="22"/>
          <w:shd w:val="clear" w:color="auto" w:fill="FFFFFF"/>
        </w:rPr>
        <w:t>9</w:t>
      </w:r>
      <w:r w:rsidR="00826ED4" w:rsidRPr="00F83F9E">
        <w:rPr>
          <w:rFonts w:cstheme="minorHAnsi"/>
          <w:color w:val="000000"/>
          <w:sz w:val="22"/>
          <w:szCs w:val="22"/>
          <w:shd w:val="clear" w:color="auto" w:fill="FFFFFF"/>
        </w:rPr>
        <w:t>). However, there was significant variation across the country with some states – or cities – achieving much larger increases in HPV vaccine coverage and others falling further behind.</w:t>
      </w:r>
    </w:p>
    <w:p w14:paraId="23E0F26A" w14:textId="3353C91A" w:rsidR="00826ED4" w:rsidRDefault="00826ED4" w:rsidP="00826ED4">
      <w:pPr>
        <w:spacing w:after="160"/>
        <w:rPr>
          <w:rFonts w:cstheme="minorHAnsi"/>
          <w:color w:val="000000"/>
          <w:sz w:val="22"/>
          <w:szCs w:val="22"/>
          <w:shd w:val="clear" w:color="auto" w:fill="FFFFFF"/>
        </w:rPr>
      </w:pPr>
      <w:r w:rsidRPr="00F83F9E">
        <w:rPr>
          <w:rFonts w:cstheme="minorHAnsi"/>
          <w:color w:val="000000"/>
          <w:sz w:val="22"/>
          <w:szCs w:val="22"/>
          <w:shd w:val="clear" w:color="auto" w:fill="FFFFFF"/>
        </w:rPr>
        <w:t xml:space="preserve">This variation suggests that local barriers to vaccine uptake need to be better understood. These could include, for example, community attitudes in opposition to vaccination generally or the HPV vaccine specifically; </w:t>
      </w:r>
      <w:r w:rsidR="007C0C48" w:rsidRPr="00F83F9E">
        <w:rPr>
          <w:rFonts w:cstheme="minorHAnsi"/>
          <w:color w:val="000000"/>
          <w:sz w:val="22"/>
          <w:szCs w:val="22"/>
          <w:shd w:val="clear" w:color="auto" w:fill="FFFFFF"/>
        </w:rPr>
        <w:t xml:space="preserve">the </w:t>
      </w:r>
      <w:r w:rsidR="00A234C4" w:rsidRPr="00F83F9E">
        <w:rPr>
          <w:rFonts w:cstheme="minorHAnsi"/>
          <w:color w:val="000000"/>
          <w:sz w:val="22"/>
          <w:szCs w:val="22"/>
          <w:shd w:val="clear" w:color="auto" w:fill="FFFFFF"/>
        </w:rPr>
        <w:t xml:space="preserve">effects of local opinion leaders; </w:t>
      </w:r>
      <w:r w:rsidR="006F1173" w:rsidRPr="00F83F9E">
        <w:rPr>
          <w:rFonts w:cstheme="minorHAnsi"/>
          <w:color w:val="000000"/>
          <w:sz w:val="22"/>
          <w:szCs w:val="22"/>
          <w:shd w:val="clear" w:color="auto" w:fill="FFFFFF"/>
        </w:rPr>
        <w:t>diffusion of vaccine-related misinformation on</w:t>
      </w:r>
      <w:r w:rsidR="007C0C48" w:rsidRPr="00F83F9E">
        <w:rPr>
          <w:rFonts w:cstheme="minorHAnsi"/>
          <w:color w:val="000000"/>
          <w:sz w:val="22"/>
          <w:szCs w:val="22"/>
          <w:shd w:val="clear" w:color="auto" w:fill="FFFFFF"/>
        </w:rPr>
        <w:t xml:space="preserve"> social media; in addition to long-standing </w:t>
      </w:r>
      <w:r w:rsidR="0064575D" w:rsidRPr="00F83F9E">
        <w:rPr>
          <w:rFonts w:cstheme="minorHAnsi"/>
          <w:color w:val="000000"/>
          <w:sz w:val="22"/>
          <w:szCs w:val="22"/>
          <w:shd w:val="clear" w:color="auto" w:fill="FFFFFF"/>
        </w:rPr>
        <w:t>access and healthcare delivery-based barriers.</w:t>
      </w:r>
      <w:r w:rsidRPr="00F83F9E">
        <w:rPr>
          <w:rFonts w:cstheme="minorHAnsi"/>
          <w:color w:val="000000"/>
          <w:sz w:val="22"/>
          <w:szCs w:val="22"/>
          <w:shd w:val="clear" w:color="auto" w:fill="FFFFFF"/>
        </w:rPr>
        <w:t xml:space="preserve"> Similarly, local facilitators such as </w:t>
      </w:r>
      <w:r w:rsidR="0064575D" w:rsidRPr="00F83F9E">
        <w:rPr>
          <w:rFonts w:cstheme="minorHAnsi"/>
          <w:color w:val="000000"/>
          <w:sz w:val="22"/>
          <w:szCs w:val="22"/>
          <w:shd w:val="clear" w:color="auto" w:fill="FFFFFF"/>
        </w:rPr>
        <w:t xml:space="preserve">active vaccine champions, parent groups, and </w:t>
      </w:r>
      <w:r w:rsidRPr="00F83F9E">
        <w:rPr>
          <w:rFonts w:cstheme="minorHAnsi"/>
          <w:color w:val="000000"/>
          <w:sz w:val="22"/>
          <w:szCs w:val="22"/>
          <w:shd w:val="clear" w:color="auto" w:fill="FFFFFF"/>
        </w:rPr>
        <w:t>well</w:t>
      </w:r>
      <w:r w:rsidR="00682F72" w:rsidRPr="00F83F9E">
        <w:rPr>
          <w:rFonts w:cstheme="minorHAnsi"/>
          <w:color w:val="000000"/>
          <w:sz w:val="22"/>
          <w:szCs w:val="22"/>
          <w:shd w:val="clear" w:color="auto" w:fill="FFFFFF"/>
        </w:rPr>
        <w:t>-</w:t>
      </w:r>
      <w:r w:rsidRPr="00F83F9E">
        <w:rPr>
          <w:rFonts w:cstheme="minorHAnsi"/>
          <w:color w:val="000000"/>
          <w:sz w:val="22"/>
          <w:szCs w:val="22"/>
          <w:shd w:val="clear" w:color="auto" w:fill="FFFFFF"/>
        </w:rPr>
        <w:t>coordinated efforts within</w:t>
      </w:r>
      <w:r w:rsidR="00841535" w:rsidRPr="00F83F9E">
        <w:rPr>
          <w:rFonts w:cstheme="minorHAnsi"/>
          <w:color w:val="000000"/>
          <w:sz w:val="22"/>
          <w:szCs w:val="22"/>
          <w:shd w:val="clear" w:color="auto" w:fill="FFFFFF"/>
        </w:rPr>
        <w:t xml:space="preserve"> or across</w:t>
      </w:r>
      <w:r w:rsidRPr="00F83F9E">
        <w:rPr>
          <w:rFonts w:cstheme="minorHAnsi"/>
          <w:color w:val="000000"/>
          <w:sz w:val="22"/>
          <w:szCs w:val="22"/>
          <w:shd w:val="clear" w:color="auto" w:fill="FFFFFF"/>
        </w:rPr>
        <w:t xml:space="preserve"> state or local health department</w:t>
      </w:r>
      <w:r w:rsidR="00841535" w:rsidRPr="00F83F9E">
        <w:rPr>
          <w:rFonts w:cstheme="minorHAnsi"/>
          <w:color w:val="000000"/>
          <w:sz w:val="22"/>
          <w:szCs w:val="22"/>
          <w:shd w:val="clear" w:color="auto" w:fill="FFFFFF"/>
        </w:rPr>
        <w:t>s</w:t>
      </w:r>
      <w:r w:rsidRPr="00F83F9E">
        <w:rPr>
          <w:rFonts w:cstheme="minorHAnsi"/>
          <w:color w:val="000000"/>
          <w:sz w:val="22"/>
          <w:szCs w:val="22"/>
          <w:shd w:val="clear" w:color="auto" w:fill="FFFFFF"/>
        </w:rPr>
        <w:t xml:space="preserve"> may already be present to support vaccine promotion efforts. To </w:t>
      </w:r>
      <w:r w:rsidR="00A234C4" w:rsidRPr="00F83F9E">
        <w:rPr>
          <w:rFonts w:cstheme="minorHAnsi"/>
          <w:color w:val="000000"/>
          <w:sz w:val="22"/>
          <w:szCs w:val="22"/>
          <w:shd w:val="clear" w:color="auto" w:fill="FFFFFF"/>
        </w:rPr>
        <w:t xml:space="preserve">address vaccine hesitancy and its effects on vaccine uptake at the community level, </w:t>
      </w:r>
      <w:r w:rsidRPr="00F83F9E">
        <w:rPr>
          <w:rFonts w:cstheme="minorHAnsi"/>
          <w:color w:val="000000"/>
          <w:sz w:val="22"/>
          <w:szCs w:val="22"/>
          <w:shd w:val="clear" w:color="auto" w:fill="FFFFFF"/>
        </w:rPr>
        <w:t>local</w:t>
      </w:r>
      <w:r w:rsidR="00682F72" w:rsidRPr="00F83F9E">
        <w:rPr>
          <w:rFonts w:cstheme="minorHAnsi"/>
          <w:color w:val="000000"/>
          <w:sz w:val="22"/>
          <w:szCs w:val="22"/>
          <w:shd w:val="clear" w:color="auto" w:fill="FFFFFF"/>
        </w:rPr>
        <w:t>-</w:t>
      </w:r>
      <w:r w:rsidRPr="00F83F9E">
        <w:rPr>
          <w:rFonts w:cstheme="minorHAnsi"/>
          <w:color w:val="000000"/>
          <w:sz w:val="22"/>
          <w:szCs w:val="22"/>
          <w:shd w:val="clear" w:color="auto" w:fill="FFFFFF"/>
        </w:rPr>
        <w:t xml:space="preserve">level investigation is needed </w:t>
      </w:r>
      <w:r w:rsidR="0064575D" w:rsidRPr="00F83F9E">
        <w:rPr>
          <w:rFonts w:cstheme="minorHAnsi"/>
          <w:color w:val="000000"/>
          <w:sz w:val="22"/>
          <w:szCs w:val="22"/>
          <w:shd w:val="clear" w:color="auto" w:fill="FFFFFF"/>
        </w:rPr>
        <w:t>to characterize local vaccine hesitancy and other</w:t>
      </w:r>
      <w:r w:rsidRPr="00F83F9E">
        <w:rPr>
          <w:rFonts w:cstheme="minorHAnsi"/>
          <w:color w:val="000000"/>
          <w:sz w:val="22"/>
          <w:szCs w:val="22"/>
          <w:shd w:val="clear" w:color="auto" w:fill="FFFFFF"/>
        </w:rPr>
        <w:t xml:space="preserve"> barriers, </w:t>
      </w:r>
      <w:r w:rsidR="0064575D" w:rsidRPr="00F83F9E">
        <w:rPr>
          <w:rFonts w:cstheme="minorHAnsi"/>
          <w:color w:val="000000"/>
          <w:sz w:val="22"/>
          <w:szCs w:val="22"/>
          <w:shd w:val="clear" w:color="auto" w:fill="FFFFFF"/>
        </w:rPr>
        <w:t xml:space="preserve">as well as </w:t>
      </w:r>
      <w:r w:rsidRPr="00F83F9E">
        <w:rPr>
          <w:rFonts w:cstheme="minorHAnsi"/>
          <w:color w:val="000000"/>
          <w:sz w:val="22"/>
          <w:szCs w:val="22"/>
          <w:shd w:val="clear" w:color="auto" w:fill="FFFFFF"/>
        </w:rPr>
        <w:t>facilitators, and existing vaccine promotion efforts.</w:t>
      </w:r>
    </w:p>
    <w:p w14:paraId="3056BD04" w14:textId="0A9E22BD" w:rsidR="00D46B48" w:rsidRDefault="00D46B48" w:rsidP="00826ED4">
      <w:pPr>
        <w:spacing w:after="160"/>
        <w:rPr>
          <w:rFonts w:cstheme="minorHAnsi"/>
          <w:color w:val="000000"/>
          <w:sz w:val="22"/>
          <w:szCs w:val="22"/>
          <w:shd w:val="clear" w:color="auto" w:fill="FFFFFF"/>
        </w:rPr>
      </w:pPr>
    </w:p>
    <w:p w14:paraId="0578B55D" w14:textId="24E5BBA1" w:rsidR="00D46B48" w:rsidRPr="00F83F9E" w:rsidRDefault="00D46B48" w:rsidP="00D46B48">
      <w:pPr>
        <w:rPr>
          <w:rFonts w:cstheme="minorHAnsi"/>
          <w:sz w:val="22"/>
          <w:szCs w:val="22"/>
        </w:rPr>
      </w:pPr>
      <w:r w:rsidRPr="00F83F9E">
        <w:rPr>
          <w:rFonts w:cstheme="minorHAnsi"/>
          <w:b/>
          <w:bCs/>
          <w:color w:val="000000"/>
          <w:sz w:val="22"/>
          <w:szCs w:val="22"/>
        </w:rPr>
        <w:lastRenderedPageBreak/>
        <w:t>Purpose</w:t>
      </w:r>
      <w:r w:rsidR="00983341">
        <w:rPr>
          <w:rFonts w:cstheme="minorHAnsi"/>
          <w:b/>
          <w:bCs/>
          <w:color w:val="000000"/>
          <w:sz w:val="22"/>
          <w:szCs w:val="22"/>
        </w:rPr>
        <w:t xml:space="preserve"> and Goals</w:t>
      </w:r>
    </w:p>
    <w:p w14:paraId="02D25295" w14:textId="0F639167" w:rsidR="00D46B48" w:rsidRPr="00F83F9E" w:rsidRDefault="00D46B48" w:rsidP="00D46B48">
      <w:pPr>
        <w:rPr>
          <w:rFonts w:cstheme="minorHAnsi"/>
          <w:color w:val="000000"/>
          <w:sz w:val="22"/>
          <w:szCs w:val="22"/>
        </w:rPr>
      </w:pPr>
      <w:r>
        <w:rPr>
          <w:rFonts w:cstheme="minorHAnsi"/>
          <w:color w:val="000000"/>
          <w:sz w:val="22"/>
          <w:szCs w:val="22"/>
        </w:rPr>
        <w:t>T</w:t>
      </w:r>
      <w:r w:rsidRPr="00F83F9E">
        <w:rPr>
          <w:rFonts w:cstheme="minorHAnsi"/>
          <w:color w:val="000000"/>
          <w:sz w:val="22"/>
          <w:szCs w:val="22"/>
        </w:rPr>
        <w:t>he National Cancer Institute (NCI)</w:t>
      </w:r>
      <w:r>
        <w:rPr>
          <w:rFonts w:cstheme="minorHAnsi"/>
          <w:color w:val="000000"/>
          <w:sz w:val="22"/>
          <w:szCs w:val="22"/>
        </w:rPr>
        <w:t xml:space="preserve">, </w:t>
      </w:r>
      <w:r w:rsidRPr="005C04DE">
        <w:rPr>
          <w:rFonts w:cstheme="minorHAnsi"/>
          <w:sz w:val="22"/>
          <w:szCs w:val="22"/>
        </w:rPr>
        <w:t xml:space="preserve">Division of Cancer Control and Population Sciences (DCCPS), </w:t>
      </w:r>
      <w:r w:rsidRPr="00F83F9E">
        <w:rPr>
          <w:rFonts w:cstheme="minorHAnsi"/>
          <w:color w:val="000000"/>
          <w:sz w:val="22"/>
          <w:szCs w:val="22"/>
        </w:rPr>
        <w:t xml:space="preserve">announces </w:t>
      </w:r>
      <w:r>
        <w:rPr>
          <w:rFonts w:cstheme="minorHAnsi"/>
          <w:color w:val="000000"/>
          <w:sz w:val="22"/>
          <w:szCs w:val="22"/>
        </w:rPr>
        <w:t>the</w:t>
      </w:r>
      <w:r w:rsidRPr="00F83F9E">
        <w:rPr>
          <w:rFonts w:cstheme="minorHAnsi"/>
          <w:color w:val="000000"/>
          <w:sz w:val="22"/>
          <w:szCs w:val="22"/>
        </w:rPr>
        <w:t xml:space="preserve"> opportunity for supplemental funding </w:t>
      </w:r>
      <w:r>
        <w:rPr>
          <w:rFonts w:cstheme="minorHAnsi"/>
          <w:color w:val="000000"/>
          <w:sz w:val="22"/>
          <w:szCs w:val="22"/>
        </w:rPr>
        <w:t>for</w:t>
      </w:r>
      <w:r w:rsidRPr="00F83F9E">
        <w:rPr>
          <w:rFonts w:cstheme="minorHAnsi"/>
          <w:color w:val="000000"/>
          <w:sz w:val="22"/>
          <w:szCs w:val="22"/>
        </w:rPr>
        <w:t xml:space="preserve"> NCI-designated cancer centers</w:t>
      </w:r>
      <w:r>
        <w:rPr>
          <w:rFonts w:cstheme="minorHAnsi"/>
          <w:color w:val="000000"/>
          <w:sz w:val="22"/>
          <w:szCs w:val="22"/>
        </w:rPr>
        <w:t xml:space="preserve"> t</w:t>
      </w:r>
      <w:r w:rsidRPr="00F83F9E">
        <w:rPr>
          <w:rFonts w:cstheme="minorHAnsi"/>
          <w:color w:val="000000"/>
          <w:sz w:val="22"/>
          <w:szCs w:val="22"/>
        </w:rPr>
        <w:t>o investigate vaccine hesitancy</w:t>
      </w:r>
      <w:r>
        <w:rPr>
          <w:rFonts w:cstheme="minorHAnsi"/>
          <w:color w:val="000000"/>
          <w:sz w:val="22"/>
          <w:szCs w:val="22"/>
        </w:rPr>
        <w:t xml:space="preserve">. </w:t>
      </w:r>
      <w:r w:rsidRPr="00F83F9E">
        <w:rPr>
          <w:rFonts w:cstheme="minorHAnsi"/>
          <w:color w:val="000000"/>
          <w:sz w:val="22"/>
          <w:szCs w:val="22"/>
        </w:rPr>
        <w:t xml:space="preserve">The purpose is to </w:t>
      </w:r>
      <w:r w:rsidR="00A57110">
        <w:rPr>
          <w:rFonts w:cstheme="minorHAnsi"/>
          <w:color w:val="000000"/>
          <w:sz w:val="22"/>
          <w:szCs w:val="22"/>
        </w:rPr>
        <w:t xml:space="preserve">characterize and </w:t>
      </w:r>
      <w:r w:rsidRPr="00F83F9E">
        <w:rPr>
          <w:rFonts w:cstheme="minorHAnsi"/>
          <w:color w:val="000000"/>
          <w:sz w:val="22"/>
          <w:szCs w:val="22"/>
        </w:rPr>
        <w:t>understand the influence of vaccine hesitancy on HPV vaccine uptake in regions of the US where adolescent uptake is low. The goals for this one-year supplement are to understand characteristics of vaccine-hesitant communities within the cancer center catchment area, to identify promising and innovative approaches to reducing hesitancy and other barriers to HPV vaccination, and to gather pilot data to support future intervention</w:t>
      </w:r>
      <w:r w:rsidR="00812425">
        <w:rPr>
          <w:rFonts w:cstheme="minorHAnsi"/>
          <w:color w:val="000000"/>
          <w:sz w:val="22"/>
          <w:szCs w:val="22"/>
        </w:rPr>
        <w:t>s</w:t>
      </w:r>
      <w:r w:rsidRPr="00F83F9E">
        <w:rPr>
          <w:rFonts w:cstheme="minorHAnsi"/>
          <w:color w:val="000000"/>
          <w:sz w:val="22"/>
          <w:szCs w:val="22"/>
        </w:rPr>
        <w:t xml:space="preserve"> towards reducing vaccine hesitancy and increasing HPV vaccination. </w:t>
      </w:r>
      <w:r w:rsidR="00A57110" w:rsidRPr="00A57110">
        <w:rPr>
          <w:rFonts w:cstheme="minorHAnsi"/>
          <w:sz w:val="22"/>
          <w:szCs w:val="22"/>
        </w:rPr>
        <w:t xml:space="preserve">Preference will be given to centers that </w:t>
      </w:r>
      <w:r w:rsidR="00A57110" w:rsidRPr="00A57110">
        <w:rPr>
          <w:rFonts w:cstheme="minorHAnsi"/>
          <w:color w:val="000000"/>
          <w:sz w:val="22"/>
          <w:szCs w:val="22"/>
        </w:rPr>
        <w:t xml:space="preserve">identify, within the cancer center catchment area, a region or population with low uptake, as documented by local surveillance or results from the </w:t>
      </w:r>
      <w:hyperlink r:id="rId8" w:history="1">
        <w:r w:rsidR="00A57110" w:rsidRPr="00A57110">
          <w:rPr>
            <w:rStyle w:val="Hyperlink"/>
            <w:rFonts w:cstheme="minorHAnsi"/>
            <w:sz w:val="22"/>
            <w:szCs w:val="22"/>
          </w:rPr>
          <w:t>2018 NIS-Teen</w:t>
        </w:r>
      </w:hyperlink>
      <w:r w:rsidR="00A57110" w:rsidRPr="00A57110">
        <w:rPr>
          <w:rFonts w:cstheme="minorHAnsi"/>
          <w:color w:val="000000"/>
          <w:sz w:val="22"/>
          <w:szCs w:val="22"/>
        </w:rPr>
        <w:t>.</w:t>
      </w:r>
      <w:r w:rsidR="00A57110">
        <w:rPr>
          <w:rFonts w:cstheme="minorHAnsi"/>
          <w:color w:val="000000"/>
          <w:sz w:val="22"/>
          <w:szCs w:val="22"/>
        </w:rPr>
        <w:t xml:space="preserve"> </w:t>
      </w:r>
      <w:r w:rsidR="000D1C67" w:rsidRPr="00F83F9E">
        <w:rPr>
          <w:rFonts w:cstheme="minorHAnsi"/>
          <w:color w:val="000000"/>
          <w:sz w:val="22"/>
          <w:szCs w:val="22"/>
        </w:rPr>
        <w:t>These supplements are part of a larger effort that NCI and CDC’s Division of Cancer Prevention and Control are undertaking, which is a more systematic effort to bring together NCI cancer centers, CDC programs, and state/local health departments and their immunization programs.</w:t>
      </w:r>
    </w:p>
    <w:p w14:paraId="07C09DCF" w14:textId="6569AF8B" w:rsidR="00826ED4" w:rsidRPr="00F83F9E" w:rsidRDefault="00826ED4" w:rsidP="00826ED4">
      <w:pPr>
        <w:rPr>
          <w:rFonts w:cstheme="minorHAnsi"/>
          <w:color w:val="000000"/>
          <w:sz w:val="22"/>
          <w:szCs w:val="22"/>
        </w:rPr>
      </w:pPr>
    </w:p>
    <w:p w14:paraId="56131935" w14:textId="524D6549" w:rsidR="00AA7C6B" w:rsidRPr="00F83F9E" w:rsidRDefault="00AA7C6B" w:rsidP="00826ED4">
      <w:pPr>
        <w:rPr>
          <w:rFonts w:cstheme="minorHAnsi"/>
          <w:b/>
          <w:bCs/>
          <w:color w:val="000000"/>
          <w:sz w:val="22"/>
          <w:szCs w:val="22"/>
        </w:rPr>
      </w:pPr>
      <w:r w:rsidRPr="00F83F9E">
        <w:rPr>
          <w:rFonts w:cstheme="minorHAnsi"/>
          <w:b/>
          <w:bCs/>
          <w:color w:val="000000"/>
          <w:sz w:val="22"/>
          <w:szCs w:val="22"/>
        </w:rPr>
        <w:t>Eligibility and Budget</w:t>
      </w:r>
    </w:p>
    <w:p w14:paraId="232C6276" w14:textId="51923BDC" w:rsidR="00F81352" w:rsidRPr="00812B59" w:rsidRDefault="00B63E89" w:rsidP="00AA7C6B">
      <w:pPr>
        <w:numPr>
          <w:ilvl w:val="0"/>
          <w:numId w:val="1"/>
        </w:numPr>
        <w:textAlignment w:val="baseline"/>
        <w:rPr>
          <w:rFonts w:cstheme="minorHAnsi"/>
          <w:color w:val="000000"/>
          <w:sz w:val="22"/>
          <w:szCs w:val="22"/>
        </w:rPr>
      </w:pPr>
      <w:r w:rsidRPr="00812B59">
        <w:rPr>
          <w:rFonts w:cstheme="minorHAnsi"/>
          <w:color w:val="000000"/>
          <w:sz w:val="22"/>
          <w:szCs w:val="22"/>
        </w:rPr>
        <w:t>This opportunity is open to a</w:t>
      </w:r>
      <w:r w:rsidR="00AA7C6B" w:rsidRPr="00812B59">
        <w:rPr>
          <w:rFonts w:cstheme="minorHAnsi"/>
          <w:color w:val="000000"/>
          <w:sz w:val="22"/>
          <w:szCs w:val="22"/>
        </w:rPr>
        <w:t xml:space="preserve">ll clinical and comprehensive </w:t>
      </w:r>
      <w:r w:rsidRPr="00812B59">
        <w:rPr>
          <w:rFonts w:cstheme="minorHAnsi"/>
          <w:color w:val="000000"/>
          <w:sz w:val="22"/>
          <w:szCs w:val="22"/>
        </w:rPr>
        <w:t>P30 Cancer Center Support Grants located in or demonstrating the ability to work in regions with low HPV vaccine uptake, including those that have received a previous supplement for HPV Vaccine Uptake.</w:t>
      </w:r>
      <w:r w:rsidR="00AA7C6B" w:rsidRPr="00812B59">
        <w:rPr>
          <w:rFonts w:cstheme="minorHAnsi"/>
          <w:color w:val="000000"/>
          <w:sz w:val="22"/>
          <w:szCs w:val="22"/>
        </w:rPr>
        <w:t xml:space="preserve"> </w:t>
      </w:r>
    </w:p>
    <w:p w14:paraId="2801018F" w14:textId="6015E4F0" w:rsidR="00B63E89" w:rsidRPr="00812B59" w:rsidRDefault="00B63E89">
      <w:pPr>
        <w:numPr>
          <w:ilvl w:val="0"/>
          <w:numId w:val="1"/>
        </w:numPr>
        <w:textAlignment w:val="baseline"/>
        <w:rPr>
          <w:rFonts w:cstheme="minorHAnsi"/>
          <w:color w:val="000000"/>
          <w:sz w:val="22"/>
          <w:szCs w:val="22"/>
        </w:rPr>
      </w:pPr>
      <w:r w:rsidRPr="00812B59">
        <w:rPr>
          <w:rFonts w:cstheme="minorHAnsi"/>
          <w:color w:val="000000"/>
          <w:sz w:val="22"/>
          <w:szCs w:val="22"/>
        </w:rPr>
        <w:t>Only one supplement request per center will be considered.</w:t>
      </w:r>
    </w:p>
    <w:p w14:paraId="6428B67B" w14:textId="5403BC3D" w:rsidR="00B63E89" w:rsidRPr="00812B59" w:rsidRDefault="00B63E89" w:rsidP="00B63E89">
      <w:pPr>
        <w:pStyle w:val="ListParagraph"/>
        <w:numPr>
          <w:ilvl w:val="0"/>
          <w:numId w:val="1"/>
        </w:numPr>
        <w:rPr>
          <w:rFonts w:cstheme="minorHAnsi"/>
          <w:color w:val="000000"/>
          <w:sz w:val="22"/>
          <w:szCs w:val="22"/>
        </w:rPr>
      </w:pPr>
      <w:r w:rsidRPr="00812B59">
        <w:rPr>
          <w:rFonts w:cstheme="minorHAnsi"/>
          <w:color w:val="000000"/>
          <w:sz w:val="22"/>
          <w:szCs w:val="22"/>
        </w:rPr>
        <w:t>Supplement requests may not exceed $200,000 total costs</w:t>
      </w:r>
      <w:r w:rsidR="00191FB0">
        <w:rPr>
          <w:rFonts w:cstheme="minorHAnsi"/>
          <w:color w:val="000000"/>
          <w:sz w:val="22"/>
          <w:szCs w:val="22"/>
        </w:rPr>
        <w:t>, and the project period is for one year</w:t>
      </w:r>
      <w:r w:rsidR="00826E42" w:rsidRPr="00812B59">
        <w:rPr>
          <w:rFonts w:cstheme="minorHAnsi"/>
          <w:color w:val="000000"/>
          <w:sz w:val="22"/>
          <w:szCs w:val="22"/>
        </w:rPr>
        <w:t>.</w:t>
      </w:r>
    </w:p>
    <w:p w14:paraId="17D9FF07" w14:textId="6B14DE6A" w:rsidR="00AA7C6B" w:rsidRPr="00812B59" w:rsidRDefault="00AA7C6B" w:rsidP="00AA7C6B">
      <w:pPr>
        <w:numPr>
          <w:ilvl w:val="0"/>
          <w:numId w:val="1"/>
        </w:numPr>
        <w:textAlignment w:val="baseline"/>
        <w:rPr>
          <w:rFonts w:cstheme="minorHAnsi"/>
          <w:color w:val="000000"/>
          <w:sz w:val="22"/>
          <w:szCs w:val="22"/>
        </w:rPr>
      </w:pPr>
      <w:r w:rsidRPr="00812B59">
        <w:rPr>
          <w:rFonts w:cstheme="minorHAnsi"/>
          <w:color w:val="000000"/>
          <w:sz w:val="22"/>
          <w:szCs w:val="22"/>
        </w:rPr>
        <w:t xml:space="preserve">Costs must be </w:t>
      </w:r>
      <w:r w:rsidR="00B85560" w:rsidRPr="00812B59">
        <w:rPr>
          <w:rFonts w:cstheme="minorHAnsi"/>
          <w:color w:val="000000"/>
          <w:sz w:val="22"/>
          <w:szCs w:val="22"/>
        </w:rPr>
        <w:t xml:space="preserve">primarily </w:t>
      </w:r>
      <w:r w:rsidRPr="00812B59">
        <w:rPr>
          <w:rFonts w:cstheme="minorHAnsi"/>
          <w:color w:val="000000"/>
          <w:sz w:val="22"/>
          <w:szCs w:val="22"/>
        </w:rPr>
        <w:t xml:space="preserve">associated with </w:t>
      </w:r>
      <w:r w:rsidR="00891182">
        <w:rPr>
          <w:rFonts w:cstheme="minorHAnsi"/>
          <w:color w:val="000000"/>
          <w:sz w:val="22"/>
          <w:szCs w:val="22"/>
        </w:rPr>
        <w:t>data collection activities</w:t>
      </w:r>
      <w:r w:rsidRPr="00812B59">
        <w:rPr>
          <w:rFonts w:cstheme="minorHAnsi"/>
          <w:color w:val="000000"/>
          <w:sz w:val="22"/>
          <w:szCs w:val="22"/>
        </w:rPr>
        <w:t xml:space="preserve"> (include </w:t>
      </w:r>
      <w:r w:rsidR="00B85560" w:rsidRPr="00812B59">
        <w:rPr>
          <w:rFonts w:cstheme="minorHAnsi"/>
          <w:color w:val="000000"/>
          <w:sz w:val="22"/>
          <w:szCs w:val="22"/>
        </w:rPr>
        <w:t xml:space="preserve">minimal </w:t>
      </w:r>
      <w:r w:rsidRPr="00812B59">
        <w:rPr>
          <w:rFonts w:cstheme="minorHAnsi"/>
          <w:color w:val="000000"/>
          <w:sz w:val="22"/>
          <w:szCs w:val="22"/>
        </w:rPr>
        <w:t xml:space="preserve">investigator time </w:t>
      </w:r>
      <w:r w:rsidR="00B85560" w:rsidRPr="00812B59">
        <w:rPr>
          <w:rFonts w:cstheme="minorHAnsi"/>
          <w:color w:val="000000"/>
          <w:sz w:val="22"/>
          <w:szCs w:val="22"/>
        </w:rPr>
        <w:t xml:space="preserve">and no </w:t>
      </w:r>
      <w:r w:rsidRPr="00812B59">
        <w:rPr>
          <w:rFonts w:cstheme="minorHAnsi"/>
          <w:color w:val="000000"/>
          <w:sz w:val="22"/>
          <w:szCs w:val="22"/>
        </w:rPr>
        <w:t>conference travel)</w:t>
      </w:r>
    </w:p>
    <w:p w14:paraId="0CDDCBAB" w14:textId="2D6C1F44" w:rsidR="00745D71" w:rsidRPr="00812B59" w:rsidRDefault="00745D71" w:rsidP="00745D71">
      <w:pPr>
        <w:pStyle w:val="ListParagraph"/>
        <w:numPr>
          <w:ilvl w:val="0"/>
          <w:numId w:val="1"/>
        </w:numPr>
        <w:rPr>
          <w:rFonts w:cstheme="minorHAnsi"/>
          <w:color w:val="000000"/>
          <w:sz w:val="22"/>
          <w:szCs w:val="22"/>
        </w:rPr>
      </w:pPr>
      <w:r w:rsidRPr="00812B59">
        <w:rPr>
          <w:rFonts w:cstheme="minorHAnsi"/>
          <w:color w:val="000000"/>
          <w:sz w:val="22"/>
          <w:szCs w:val="22"/>
        </w:rPr>
        <w:t xml:space="preserve">Travel costs will only be covered if directly associated with data collection. </w:t>
      </w:r>
    </w:p>
    <w:p w14:paraId="46E03A48" w14:textId="298211E3" w:rsidR="00B63E89" w:rsidRPr="00812B59" w:rsidRDefault="00B63E89" w:rsidP="00B63E89">
      <w:pPr>
        <w:numPr>
          <w:ilvl w:val="0"/>
          <w:numId w:val="1"/>
        </w:numPr>
        <w:textAlignment w:val="baseline"/>
        <w:rPr>
          <w:rFonts w:cstheme="minorHAnsi"/>
          <w:color w:val="000000"/>
          <w:sz w:val="22"/>
          <w:szCs w:val="22"/>
        </w:rPr>
      </w:pPr>
      <w:r w:rsidRPr="00812B59">
        <w:rPr>
          <w:rFonts w:cstheme="minorHAnsi"/>
          <w:color w:val="000000"/>
          <w:sz w:val="22"/>
          <w:szCs w:val="22"/>
        </w:rPr>
        <w:t>Cancer centers whose P30 Cancer Center Support Grant will be in extension at the time the award is made in FY20 are not eligible for this supplement</w:t>
      </w:r>
      <w:r w:rsidR="00826E42" w:rsidRPr="00812B59">
        <w:rPr>
          <w:rFonts w:cstheme="minorHAnsi"/>
          <w:color w:val="000000"/>
          <w:sz w:val="22"/>
          <w:szCs w:val="22"/>
        </w:rPr>
        <w:t>.</w:t>
      </w:r>
    </w:p>
    <w:p w14:paraId="51935839" w14:textId="77777777" w:rsidR="00812B59" w:rsidRPr="00812B59" w:rsidRDefault="00812B59" w:rsidP="00812B59">
      <w:pPr>
        <w:pStyle w:val="ListParagraph"/>
        <w:numPr>
          <w:ilvl w:val="0"/>
          <w:numId w:val="1"/>
        </w:numPr>
        <w:rPr>
          <w:rFonts w:cstheme="minorHAnsi"/>
          <w:sz w:val="22"/>
          <w:szCs w:val="22"/>
        </w:rPr>
      </w:pPr>
      <w:r w:rsidRPr="00812B59">
        <w:rPr>
          <w:rFonts w:cstheme="minorHAnsi"/>
          <w:sz w:val="22"/>
          <w:szCs w:val="22"/>
        </w:rPr>
        <w:t xml:space="preserve">It is anticipated that awards for this supplement opportunity will be made in September 2020. </w:t>
      </w:r>
    </w:p>
    <w:p w14:paraId="7E3387F1" w14:textId="6AE56C32" w:rsidR="00AA7C6B" w:rsidRPr="00F83F9E" w:rsidRDefault="00AA7C6B" w:rsidP="001D0546">
      <w:pPr>
        <w:pStyle w:val="ListParagraph"/>
        <w:rPr>
          <w:rFonts w:cstheme="minorHAnsi"/>
          <w:sz w:val="22"/>
          <w:szCs w:val="22"/>
        </w:rPr>
      </w:pPr>
    </w:p>
    <w:p w14:paraId="64F2B637" w14:textId="3A785423" w:rsidR="00826ED4" w:rsidRPr="00F83F9E" w:rsidRDefault="00A234C4" w:rsidP="00826ED4">
      <w:pPr>
        <w:rPr>
          <w:rFonts w:cstheme="minorHAnsi"/>
          <w:b/>
          <w:color w:val="000000"/>
          <w:sz w:val="22"/>
          <w:szCs w:val="22"/>
        </w:rPr>
      </w:pPr>
      <w:r w:rsidRPr="00F83F9E">
        <w:rPr>
          <w:rFonts w:cstheme="minorHAnsi"/>
          <w:b/>
          <w:color w:val="000000"/>
          <w:sz w:val="22"/>
          <w:szCs w:val="22"/>
        </w:rPr>
        <w:t>Application Submission Format</w:t>
      </w:r>
    </w:p>
    <w:p w14:paraId="26F74F0C" w14:textId="2E88A963" w:rsidR="009B23D3" w:rsidRDefault="00B63E89" w:rsidP="00B63E89">
      <w:pPr>
        <w:rPr>
          <w:rStyle w:val="Hyperlink"/>
          <w:rFonts w:cstheme="minorHAnsi"/>
          <w:sz w:val="22"/>
          <w:szCs w:val="22"/>
        </w:rPr>
      </w:pPr>
      <w:r w:rsidRPr="00B85560">
        <w:rPr>
          <w:rFonts w:cstheme="minorHAnsi"/>
          <w:sz w:val="22"/>
          <w:szCs w:val="22"/>
        </w:rPr>
        <w:t xml:space="preserve">Applications </w:t>
      </w:r>
      <w:r w:rsidR="00B50C3D">
        <w:rPr>
          <w:rFonts w:cstheme="minorHAnsi"/>
          <w:sz w:val="22"/>
          <w:szCs w:val="22"/>
        </w:rPr>
        <w:t>should</w:t>
      </w:r>
      <w:bookmarkStart w:id="0" w:name="_GoBack"/>
      <w:bookmarkEnd w:id="0"/>
      <w:r w:rsidRPr="00B85560">
        <w:rPr>
          <w:rFonts w:cstheme="minorHAnsi"/>
          <w:sz w:val="22"/>
          <w:szCs w:val="22"/>
        </w:rPr>
        <w:t xml:space="preserve"> be submitted as a signed, scanned PDF to </w:t>
      </w:r>
      <w:r w:rsidR="00812B59" w:rsidRPr="00B85560">
        <w:rPr>
          <w:rFonts w:cstheme="minorHAnsi"/>
          <w:sz w:val="22"/>
          <w:szCs w:val="22"/>
        </w:rPr>
        <w:t>Cynthia Vinson (</w:t>
      </w:r>
      <w:hyperlink r:id="rId9" w:history="1">
        <w:r w:rsidR="00812B59" w:rsidRPr="00B85560">
          <w:rPr>
            <w:rStyle w:val="Hyperlink"/>
            <w:rFonts w:cstheme="minorHAnsi"/>
            <w:sz w:val="22"/>
            <w:szCs w:val="22"/>
          </w:rPr>
          <w:t>cvinson@mail.nih.gov</w:t>
        </w:r>
      </w:hyperlink>
      <w:r w:rsidR="00812B59">
        <w:rPr>
          <w:rStyle w:val="Hyperlink"/>
          <w:rFonts w:cstheme="minorHAnsi"/>
          <w:sz w:val="22"/>
          <w:szCs w:val="22"/>
        </w:rPr>
        <w:t>)</w:t>
      </w:r>
    </w:p>
    <w:p w14:paraId="0BA8BAEA" w14:textId="6F29859A" w:rsidR="00B63E89" w:rsidRPr="00B85560" w:rsidRDefault="00812B59" w:rsidP="00B63E89">
      <w:pPr>
        <w:rPr>
          <w:rFonts w:cstheme="minorHAnsi"/>
          <w:b/>
          <w:bCs/>
          <w:sz w:val="22"/>
          <w:szCs w:val="22"/>
        </w:rPr>
      </w:pPr>
      <w:r w:rsidRPr="009B23D3">
        <w:rPr>
          <w:rStyle w:val="Hyperlink"/>
          <w:rFonts w:cstheme="minorHAnsi"/>
          <w:color w:val="auto"/>
          <w:sz w:val="22"/>
          <w:szCs w:val="22"/>
          <w:u w:val="none"/>
        </w:rPr>
        <w:t xml:space="preserve">and </w:t>
      </w:r>
      <w:r w:rsidR="00B63E89" w:rsidRPr="00B85560">
        <w:rPr>
          <w:rFonts w:cstheme="minorHAnsi"/>
          <w:sz w:val="22"/>
          <w:szCs w:val="22"/>
        </w:rPr>
        <w:t>Stacey Vandor (</w:t>
      </w:r>
      <w:hyperlink r:id="rId10" w:history="1">
        <w:r w:rsidR="00B63E89" w:rsidRPr="00B85560">
          <w:rPr>
            <w:rStyle w:val="Hyperlink"/>
            <w:rFonts w:cstheme="minorHAnsi"/>
            <w:sz w:val="22"/>
            <w:szCs w:val="22"/>
          </w:rPr>
          <w:t>stacey.vandor@nih.gov</w:t>
        </w:r>
      </w:hyperlink>
      <w:r w:rsidR="00B63E89" w:rsidRPr="00B85560">
        <w:rPr>
          <w:rFonts w:cstheme="minorHAnsi"/>
          <w:sz w:val="22"/>
          <w:szCs w:val="22"/>
        </w:rPr>
        <w:t xml:space="preserve">) no later than COB </w:t>
      </w:r>
      <w:r w:rsidR="00B63E89" w:rsidRPr="00812B59">
        <w:rPr>
          <w:rFonts w:cstheme="minorHAnsi"/>
          <w:sz w:val="22"/>
          <w:szCs w:val="22"/>
        </w:rPr>
        <w:t>May 4, 2020.</w:t>
      </w:r>
      <w:r w:rsidR="00B63E89" w:rsidRPr="00B85560">
        <w:rPr>
          <w:rFonts w:cstheme="minorHAnsi"/>
          <w:b/>
          <w:bCs/>
          <w:sz w:val="22"/>
          <w:szCs w:val="22"/>
        </w:rPr>
        <w:t xml:space="preserve"> </w:t>
      </w:r>
    </w:p>
    <w:p w14:paraId="3540A28D" w14:textId="52064FEE" w:rsidR="00B63E89" w:rsidRDefault="00B63E89" w:rsidP="00826ED4">
      <w:pPr>
        <w:rPr>
          <w:rFonts w:cstheme="minorHAnsi"/>
          <w:b/>
          <w:bCs/>
          <w:sz w:val="22"/>
          <w:szCs w:val="22"/>
        </w:rPr>
      </w:pPr>
    </w:p>
    <w:p w14:paraId="2E4CC585" w14:textId="6311E9FA" w:rsidR="008C0901" w:rsidRPr="005C04DE" w:rsidRDefault="008C0901" w:rsidP="008C0901">
      <w:pPr>
        <w:rPr>
          <w:rFonts w:cstheme="minorHAnsi"/>
          <w:sz w:val="22"/>
          <w:szCs w:val="22"/>
        </w:rPr>
      </w:pPr>
      <w:r w:rsidRPr="008C0901">
        <w:rPr>
          <w:rFonts w:cstheme="minorHAnsi"/>
        </w:rPr>
        <w:t>Email c</w:t>
      </w:r>
      <w:r w:rsidRPr="008C0901">
        <w:rPr>
          <w:rFonts w:cstheme="minorHAnsi"/>
          <w:sz w:val="22"/>
          <w:szCs w:val="22"/>
        </w:rPr>
        <w:t xml:space="preserve">onfirmation of application receipt from </w:t>
      </w:r>
      <w:r w:rsidR="00764F73">
        <w:rPr>
          <w:rFonts w:cstheme="minorHAnsi"/>
          <w:sz w:val="22"/>
          <w:szCs w:val="22"/>
        </w:rPr>
        <w:t>Stacey Vandor</w:t>
      </w:r>
      <w:r w:rsidRPr="008C0901">
        <w:rPr>
          <w:rFonts w:cstheme="minorHAnsi"/>
          <w:sz w:val="22"/>
          <w:szCs w:val="22"/>
        </w:rPr>
        <w:t xml:space="preserve"> must be obtained to be officially considered and evaluated.</w:t>
      </w:r>
      <w:r w:rsidRPr="005C04DE">
        <w:rPr>
          <w:rFonts w:cstheme="minorHAnsi"/>
          <w:sz w:val="22"/>
          <w:szCs w:val="22"/>
        </w:rPr>
        <w:t xml:space="preserve"> </w:t>
      </w:r>
    </w:p>
    <w:p w14:paraId="57352EAF" w14:textId="77777777" w:rsidR="008C0901" w:rsidRDefault="008C0901" w:rsidP="00826ED4">
      <w:pPr>
        <w:rPr>
          <w:rFonts w:cstheme="minorHAnsi"/>
          <w:b/>
          <w:bCs/>
          <w:sz w:val="22"/>
          <w:szCs w:val="22"/>
        </w:rPr>
      </w:pPr>
    </w:p>
    <w:p w14:paraId="670BC1DB" w14:textId="77777777" w:rsidR="00812B59" w:rsidRPr="005C04DE" w:rsidRDefault="00812B59" w:rsidP="00812B59">
      <w:pPr>
        <w:rPr>
          <w:rFonts w:cstheme="minorHAnsi"/>
          <w:sz w:val="22"/>
          <w:szCs w:val="22"/>
        </w:rPr>
      </w:pPr>
      <w:r w:rsidRPr="005C04DE">
        <w:rPr>
          <w:rFonts w:cstheme="minorHAnsi"/>
          <w:sz w:val="22"/>
          <w:szCs w:val="22"/>
        </w:rPr>
        <w:t>Requests must include the following:</w:t>
      </w:r>
    </w:p>
    <w:p w14:paraId="4E454C39" w14:textId="77777777" w:rsidR="00826ED4" w:rsidRPr="00F83F9E" w:rsidRDefault="00826ED4" w:rsidP="00826ED4">
      <w:pPr>
        <w:numPr>
          <w:ilvl w:val="0"/>
          <w:numId w:val="1"/>
        </w:numPr>
        <w:textAlignment w:val="baseline"/>
        <w:rPr>
          <w:rFonts w:cstheme="minorHAnsi"/>
          <w:color w:val="000000"/>
          <w:sz w:val="22"/>
          <w:szCs w:val="22"/>
        </w:rPr>
      </w:pPr>
      <w:r w:rsidRPr="00F83F9E">
        <w:rPr>
          <w:rFonts w:cstheme="minorHAnsi"/>
          <w:color w:val="000000"/>
          <w:sz w:val="22"/>
          <w:szCs w:val="22"/>
        </w:rPr>
        <w:t>The Standard PHS 398 Face Page</w:t>
      </w:r>
    </w:p>
    <w:p w14:paraId="538A044B" w14:textId="17EB7192" w:rsidR="00826ED4" w:rsidRPr="00F83F9E" w:rsidRDefault="00826ED4" w:rsidP="00826ED4">
      <w:pPr>
        <w:numPr>
          <w:ilvl w:val="0"/>
          <w:numId w:val="1"/>
        </w:numPr>
        <w:textAlignment w:val="baseline"/>
        <w:rPr>
          <w:rFonts w:cstheme="minorHAnsi"/>
          <w:color w:val="000000"/>
          <w:sz w:val="22"/>
          <w:szCs w:val="22"/>
        </w:rPr>
      </w:pPr>
      <w:r w:rsidRPr="00F83F9E">
        <w:rPr>
          <w:rFonts w:cstheme="minorHAnsi"/>
          <w:color w:val="000000"/>
          <w:sz w:val="22"/>
          <w:szCs w:val="22"/>
        </w:rPr>
        <w:t xml:space="preserve">A detailed </w:t>
      </w:r>
      <w:r w:rsidR="00876E8D" w:rsidRPr="00F83F9E">
        <w:rPr>
          <w:rFonts w:cstheme="minorHAnsi"/>
          <w:color w:val="000000"/>
          <w:sz w:val="22"/>
          <w:szCs w:val="22"/>
        </w:rPr>
        <w:t>b</w:t>
      </w:r>
      <w:r w:rsidRPr="00F83F9E">
        <w:rPr>
          <w:rFonts w:cstheme="minorHAnsi"/>
          <w:color w:val="000000"/>
          <w:sz w:val="22"/>
          <w:szCs w:val="22"/>
        </w:rPr>
        <w:t xml:space="preserve">udget and </w:t>
      </w:r>
      <w:r w:rsidR="00876E8D" w:rsidRPr="00F83F9E">
        <w:rPr>
          <w:rFonts w:cstheme="minorHAnsi"/>
          <w:color w:val="000000"/>
          <w:sz w:val="22"/>
          <w:szCs w:val="22"/>
        </w:rPr>
        <w:t>b</w:t>
      </w:r>
      <w:r w:rsidRPr="00F83F9E">
        <w:rPr>
          <w:rFonts w:cstheme="minorHAnsi"/>
          <w:color w:val="000000"/>
          <w:sz w:val="22"/>
          <w:szCs w:val="22"/>
        </w:rPr>
        <w:t xml:space="preserve">udget </w:t>
      </w:r>
      <w:r w:rsidR="00876E8D" w:rsidRPr="00F83F9E">
        <w:rPr>
          <w:rFonts w:cstheme="minorHAnsi"/>
          <w:color w:val="000000"/>
          <w:sz w:val="22"/>
          <w:szCs w:val="22"/>
        </w:rPr>
        <w:t>j</w:t>
      </w:r>
      <w:r w:rsidRPr="00F83F9E">
        <w:rPr>
          <w:rFonts w:cstheme="minorHAnsi"/>
          <w:color w:val="000000"/>
          <w:sz w:val="22"/>
          <w:szCs w:val="22"/>
        </w:rPr>
        <w:t xml:space="preserve">ustification </w:t>
      </w:r>
    </w:p>
    <w:p w14:paraId="70D38610" w14:textId="77777777" w:rsidR="00826ED4" w:rsidRPr="00F83F9E" w:rsidRDefault="00826ED4" w:rsidP="00826ED4">
      <w:pPr>
        <w:numPr>
          <w:ilvl w:val="0"/>
          <w:numId w:val="1"/>
        </w:numPr>
        <w:textAlignment w:val="baseline"/>
        <w:rPr>
          <w:rFonts w:cstheme="minorHAnsi"/>
          <w:color w:val="000000"/>
          <w:sz w:val="22"/>
          <w:szCs w:val="22"/>
        </w:rPr>
      </w:pPr>
      <w:r w:rsidRPr="00F83F9E">
        <w:rPr>
          <w:rFonts w:cstheme="minorHAnsi"/>
          <w:color w:val="000000"/>
          <w:sz w:val="22"/>
          <w:szCs w:val="22"/>
        </w:rPr>
        <w:t>NIH biographical sketches for key personnel proposed in the supplement</w:t>
      </w:r>
    </w:p>
    <w:p w14:paraId="0DABC6FF" w14:textId="77777777" w:rsidR="00B802F9" w:rsidRPr="00DE5678" w:rsidRDefault="00826ED4" w:rsidP="00B802F9">
      <w:pPr>
        <w:numPr>
          <w:ilvl w:val="0"/>
          <w:numId w:val="5"/>
        </w:numPr>
        <w:rPr>
          <w:rFonts w:cstheme="minorHAnsi"/>
          <w:sz w:val="22"/>
          <w:szCs w:val="22"/>
        </w:rPr>
      </w:pPr>
      <w:r w:rsidRPr="00B802F9">
        <w:rPr>
          <w:rFonts w:cstheme="minorHAnsi"/>
          <w:color w:val="000000"/>
          <w:sz w:val="22"/>
          <w:szCs w:val="22"/>
        </w:rPr>
        <w:t xml:space="preserve">Summary of the </w:t>
      </w:r>
      <w:r w:rsidR="00876E8D" w:rsidRPr="00B802F9">
        <w:rPr>
          <w:rFonts w:cstheme="minorHAnsi"/>
          <w:color w:val="000000"/>
          <w:sz w:val="22"/>
          <w:szCs w:val="22"/>
        </w:rPr>
        <w:t>p</w:t>
      </w:r>
      <w:r w:rsidRPr="00B802F9">
        <w:rPr>
          <w:rFonts w:cstheme="minorHAnsi"/>
          <w:color w:val="000000"/>
          <w:sz w:val="22"/>
          <w:szCs w:val="22"/>
        </w:rPr>
        <w:t xml:space="preserve">roject (not to exceed 5 pages) </w:t>
      </w:r>
      <w:r w:rsidR="00B802F9" w:rsidRPr="00DE5678">
        <w:rPr>
          <w:rFonts w:cstheme="minorHAnsi"/>
          <w:sz w:val="22"/>
          <w:szCs w:val="22"/>
        </w:rPr>
        <w:t xml:space="preserve">(references are excluded from the 5-page limit; no appendices, please)  </w:t>
      </w:r>
    </w:p>
    <w:p w14:paraId="64CFEC56" w14:textId="2A2FFA8D" w:rsidR="00A234C4" w:rsidRPr="00B802F9" w:rsidRDefault="00A234C4" w:rsidP="00B802F9">
      <w:pPr>
        <w:ind w:left="720"/>
        <w:textAlignment w:val="baseline"/>
        <w:rPr>
          <w:rFonts w:cstheme="minorHAnsi"/>
          <w:color w:val="000000"/>
          <w:sz w:val="22"/>
          <w:szCs w:val="22"/>
        </w:rPr>
      </w:pPr>
    </w:p>
    <w:p w14:paraId="7098488C" w14:textId="70738975" w:rsidR="00826ED4" w:rsidRPr="00B802F9" w:rsidRDefault="00826ED4" w:rsidP="00826ED4">
      <w:pPr>
        <w:rPr>
          <w:rFonts w:cstheme="minorHAnsi"/>
          <w:bCs/>
          <w:sz w:val="22"/>
          <w:szCs w:val="22"/>
        </w:rPr>
      </w:pPr>
      <w:r w:rsidRPr="00B802F9">
        <w:rPr>
          <w:rFonts w:cstheme="minorHAnsi"/>
          <w:bCs/>
          <w:color w:val="000000"/>
          <w:sz w:val="22"/>
          <w:szCs w:val="22"/>
        </w:rPr>
        <w:t xml:space="preserve">The 5-page summary </w:t>
      </w:r>
      <w:r w:rsidR="00E67310" w:rsidRPr="00842E0A">
        <w:rPr>
          <w:rFonts w:cstheme="minorHAnsi"/>
          <w:bCs/>
          <w:color w:val="000000"/>
          <w:sz w:val="22"/>
          <w:szCs w:val="22"/>
        </w:rPr>
        <w:t>must</w:t>
      </w:r>
      <w:r w:rsidRPr="00842E0A">
        <w:rPr>
          <w:rFonts w:cstheme="minorHAnsi"/>
          <w:bCs/>
          <w:color w:val="000000"/>
          <w:sz w:val="22"/>
          <w:szCs w:val="22"/>
        </w:rPr>
        <w:t>:</w:t>
      </w:r>
    </w:p>
    <w:p w14:paraId="1D240564" w14:textId="67A067F5" w:rsidR="00826ED4" w:rsidRPr="00F83F9E" w:rsidRDefault="00826ED4" w:rsidP="00826ED4">
      <w:pPr>
        <w:numPr>
          <w:ilvl w:val="0"/>
          <w:numId w:val="2"/>
        </w:numPr>
        <w:textAlignment w:val="baseline"/>
        <w:rPr>
          <w:rFonts w:cstheme="minorHAnsi"/>
          <w:color w:val="000000"/>
          <w:sz w:val="22"/>
          <w:szCs w:val="22"/>
        </w:rPr>
      </w:pPr>
      <w:r w:rsidRPr="00F83F9E">
        <w:rPr>
          <w:rFonts w:cstheme="minorHAnsi"/>
          <w:color w:val="000000"/>
          <w:sz w:val="22"/>
          <w:szCs w:val="22"/>
        </w:rPr>
        <w:t xml:space="preserve">Provide a statement of need that defines a region </w:t>
      </w:r>
      <w:r w:rsidR="00D04CD1" w:rsidRPr="00F83F9E">
        <w:rPr>
          <w:rFonts w:cstheme="minorHAnsi"/>
          <w:color w:val="000000"/>
          <w:sz w:val="22"/>
          <w:szCs w:val="22"/>
        </w:rPr>
        <w:t xml:space="preserve">or population </w:t>
      </w:r>
      <w:r w:rsidRPr="00F83F9E">
        <w:rPr>
          <w:rFonts w:cstheme="minorHAnsi"/>
          <w:color w:val="000000"/>
          <w:sz w:val="22"/>
          <w:szCs w:val="22"/>
        </w:rPr>
        <w:t>within the cancer center catchment area with documented low adolescent HPV vaccine uptake.</w:t>
      </w:r>
    </w:p>
    <w:p w14:paraId="09EFA1C7" w14:textId="425AA175" w:rsidR="00826ED4" w:rsidRPr="00F83F9E" w:rsidRDefault="00826ED4" w:rsidP="00826ED4">
      <w:pPr>
        <w:numPr>
          <w:ilvl w:val="0"/>
          <w:numId w:val="2"/>
        </w:numPr>
        <w:textAlignment w:val="baseline"/>
        <w:rPr>
          <w:rFonts w:cstheme="minorHAnsi"/>
          <w:color w:val="000000"/>
          <w:sz w:val="22"/>
          <w:szCs w:val="22"/>
        </w:rPr>
      </w:pPr>
      <w:r w:rsidRPr="00F83F9E">
        <w:rPr>
          <w:rFonts w:cstheme="minorHAnsi"/>
          <w:color w:val="000000"/>
          <w:sz w:val="22"/>
          <w:szCs w:val="22"/>
        </w:rPr>
        <w:t>Document ability and expertise to work in that region</w:t>
      </w:r>
      <w:r w:rsidR="00F828D3" w:rsidRPr="00F83F9E">
        <w:rPr>
          <w:rFonts w:cstheme="minorHAnsi"/>
          <w:color w:val="000000"/>
          <w:sz w:val="22"/>
          <w:szCs w:val="22"/>
        </w:rPr>
        <w:t xml:space="preserve"> or population</w:t>
      </w:r>
      <w:r w:rsidRPr="00F83F9E">
        <w:rPr>
          <w:rFonts w:cstheme="minorHAnsi"/>
          <w:color w:val="000000"/>
          <w:sz w:val="22"/>
          <w:szCs w:val="22"/>
        </w:rPr>
        <w:t>, e.g., ease of access, familiarity with local data</w:t>
      </w:r>
      <w:r w:rsidR="00F828D3" w:rsidRPr="00F83F9E">
        <w:rPr>
          <w:rFonts w:cstheme="minorHAnsi"/>
          <w:color w:val="000000"/>
          <w:sz w:val="22"/>
          <w:szCs w:val="22"/>
        </w:rPr>
        <w:t>,</w:t>
      </w:r>
      <w:r w:rsidRPr="00F83F9E">
        <w:rPr>
          <w:rFonts w:cstheme="minorHAnsi"/>
          <w:color w:val="000000"/>
          <w:sz w:val="22"/>
          <w:szCs w:val="22"/>
        </w:rPr>
        <w:t xml:space="preserve"> as well as political, social, and other </w:t>
      </w:r>
      <w:r w:rsidR="00121BEF" w:rsidRPr="00F83F9E">
        <w:rPr>
          <w:rFonts w:cstheme="minorHAnsi"/>
          <w:color w:val="000000"/>
          <w:sz w:val="22"/>
          <w:szCs w:val="22"/>
        </w:rPr>
        <w:t>contextual</w:t>
      </w:r>
      <w:r w:rsidRPr="00F83F9E">
        <w:rPr>
          <w:rFonts w:cstheme="minorHAnsi"/>
          <w:color w:val="000000"/>
          <w:sz w:val="22"/>
          <w:szCs w:val="22"/>
        </w:rPr>
        <w:t xml:space="preserve"> characteristics.</w:t>
      </w:r>
    </w:p>
    <w:p w14:paraId="49C747DF" w14:textId="67F4FE04" w:rsidR="00142423" w:rsidRPr="00F83F9E" w:rsidRDefault="00142423" w:rsidP="00826ED4">
      <w:pPr>
        <w:numPr>
          <w:ilvl w:val="0"/>
          <w:numId w:val="2"/>
        </w:numPr>
        <w:textAlignment w:val="baseline"/>
        <w:rPr>
          <w:rFonts w:cstheme="minorHAnsi"/>
          <w:color w:val="000000"/>
          <w:sz w:val="22"/>
          <w:szCs w:val="22"/>
        </w:rPr>
      </w:pPr>
      <w:r w:rsidRPr="00F83F9E">
        <w:rPr>
          <w:rFonts w:cstheme="minorHAnsi"/>
          <w:color w:val="000000"/>
          <w:sz w:val="22"/>
          <w:szCs w:val="22"/>
        </w:rPr>
        <w:t xml:space="preserve">Describe the processes that will </w:t>
      </w:r>
      <w:r w:rsidR="00F92995" w:rsidRPr="00F83F9E">
        <w:rPr>
          <w:rFonts w:cstheme="minorHAnsi"/>
          <w:color w:val="000000"/>
          <w:sz w:val="22"/>
          <w:szCs w:val="22"/>
        </w:rPr>
        <w:t xml:space="preserve">be </w:t>
      </w:r>
      <w:r w:rsidRPr="00F83F9E">
        <w:rPr>
          <w:rFonts w:cstheme="minorHAnsi"/>
          <w:color w:val="000000"/>
          <w:sz w:val="22"/>
          <w:szCs w:val="22"/>
        </w:rPr>
        <w:t xml:space="preserve">used for identifying HPV </w:t>
      </w:r>
      <w:r w:rsidR="00AE3250" w:rsidRPr="00F83F9E">
        <w:rPr>
          <w:rFonts w:cstheme="minorHAnsi"/>
          <w:color w:val="000000"/>
          <w:sz w:val="22"/>
          <w:szCs w:val="22"/>
        </w:rPr>
        <w:t>vaccine-hesitant</w:t>
      </w:r>
      <w:r w:rsidRPr="00F83F9E">
        <w:rPr>
          <w:rFonts w:cstheme="minorHAnsi"/>
          <w:color w:val="000000"/>
          <w:sz w:val="22"/>
          <w:szCs w:val="22"/>
        </w:rPr>
        <w:t xml:space="preserve"> </w:t>
      </w:r>
      <w:r w:rsidR="008A059B" w:rsidRPr="00F83F9E">
        <w:rPr>
          <w:rFonts w:cstheme="minorHAnsi"/>
          <w:color w:val="000000"/>
          <w:sz w:val="22"/>
          <w:szCs w:val="22"/>
        </w:rPr>
        <w:t>populations</w:t>
      </w:r>
      <w:r w:rsidRPr="00F83F9E">
        <w:rPr>
          <w:rFonts w:cstheme="minorHAnsi"/>
          <w:color w:val="000000"/>
          <w:sz w:val="22"/>
          <w:szCs w:val="22"/>
        </w:rPr>
        <w:t>, characterizing local factors that influence the hesitancy</w:t>
      </w:r>
      <w:r w:rsidR="00E36F2E" w:rsidRPr="00F83F9E">
        <w:rPr>
          <w:rFonts w:cstheme="minorHAnsi"/>
          <w:color w:val="000000"/>
          <w:sz w:val="22"/>
          <w:szCs w:val="22"/>
        </w:rPr>
        <w:t>, and identifying innovative intervention approaches.</w:t>
      </w:r>
    </w:p>
    <w:p w14:paraId="4193BFC3" w14:textId="7446865B" w:rsidR="00826E42" w:rsidRPr="00F83F9E" w:rsidRDefault="00E36F2E" w:rsidP="001D0546">
      <w:pPr>
        <w:numPr>
          <w:ilvl w:val="0"/>
          <w:numId w:val="2"/>
        </w:numPr>
        <w:textAlignment w:val="baseline"/>
        <w:rPr>
          <w:rFonts w:cstheme="minorHAnsi"/>
          <w:color w:val="000000"/>
          <w:sz w:val="22"/>
          <w:szCs w:val="22"/>
        </w:rPr>
      </w:pPr>
      <w:r w:rsidRPr="00F83F9E">
        <w:rPr>
          <w:rFonts w:cstheme="minorHAnsi"/>
          <w:color w:val="000000"/>
          <w:sz w:val="22"/>
          <w:szCs w:val="22"/>
        </w:rPr>
        <w:t>Describe processes that will be used to</w:t>
      </w:r>
      <w:r w:rsidR="008A059B" w:rsidRPr="00F83F9E">
        <w:rPr>
          <w:rFonts w:cstheme="minorHAnsi"/>
          <w:color w:val="000000"/>
          <w:sz w:val="22"/>
          <w:szCs w:val="22"/>
        </w:rPr>
        <w:t xml:space="preserve"> identify </w:t>
      </w:r>
      <w:r w:rsidRPr="00F83F9E">
        <w:rPr>
          <w:rFonts w:cstheme="minorHAnsi"/>
          <w:color w:val="000000"/>
          <w:sz w:val="22"/>
          <w:szCs w:val="22"/>
        </w:rPr>
        <w:t xml:space="preserve">innovative interventions, in the identified HPV </w:t>
      </w:r>
      <w:r w:rsidR="00AE3250" w:rsidRPr="00F83F9E">
        <w:rPr>
          <w:rFonts w:cstheme="minorHAnsi"/>
          <w:color w:val="000000"/>
          <w:sz w:val="22"/>
          <w:szCs w:val="22"/>
        </w:rPr>
        <w:t>vaccine-hesitant</w:t>
      </w:r>
      <w:r w:rsidRPr="00F83F9E">
        <w:rPr>
          <w:rFonts w:cstheme="minorHAnsi"/>
          <w:color w:val="000000"/>
          <w:sz w:val="22"/>
          <w:szCs w:val="22"/>
        </w:rPr>
        <w:t xml:space="preserve"> </w:t>
      </w:r>
      <w:r w:rsidR="008A059B" w:rsidRPr="00F83F9E">
        <w:rPr>
          <w:rFonts w:cstheme="minorHAnsi"/>
          <w:color w:val="000000"/>
          <w:sz w:val="22"/>
          <w:szCs w:val="22"/>
        </w:rPr>
        <w:t>population</w:t>
      </w:r>
      <w:r w:rsidRPr="00F83F9E">
        <w:rPr>
          <w:rFonts w:cstheme="minorHAnsi"/>
          <w:color w:val="000000"/>
          <w:sz w:val="22"/>
          <w:szCs w:val="22"/>
        </w:rPr>
        <w:t xml:space="preserve">, including variables that can be measured at different levels, for </w:t>
      </w:r>
      <w:r w:rsidRPr="00F83F9E">
        <w:rPr>
          <w:rFonts w:cstheme="minorHAnsi"/>
          <w:color w:val="000000"/>
          <w:sz w:val="22"/>
          <w:szCs w:val="22"/>
        </w:rPr>
        <w:lastRenderedPageBreak/>
        <w:t>example: parents, providers, clinic staff, community members, local social media, local mass media, and other sources of influence on vaccine</w:t>
      </w:r>
      <w:r w:rsidR="008A059B" w:rsidRPr="00F83F9E">
        <w:rPr>
          <w:rFonts w:cstheme="minorHAnsi"/>
          <w:color w:val="000000"/>
          <w:sz w:val="22"/>
          <w:szCs w:val="22"/>
        </w:rPr>
        <w:t xml:space="preserve"> hesitancy</w:t>
      </w:r>
      <w:r w:rsidR="00826E42" w:rsidRPr="00F83F9E">
        <w:rPr>
          <w:rFonts w:cstheme="minorHAnsi"/>
          <w:color w:val="000000"/>
          <w:sz w:val="22"/>
          <w:szCs w:val="22"/>
        </w:rPr>
        <w:t>.</w:t>
      </w:r>
    </w:p>
    <w:p w14:paraId="287ABAA9" w14:textId="3D6E92A8" w:rsidR="00E36F2E" w:rsidRPr="00F83F9E" w:rsidRDefault="008A059B" w:rsidP="001D0546">
      <w:pPr>
        <w:numPr>
          <w:ilvl w:val="0"/>
          <w:numId w:val="2"/>
        </w:numPr>
        <w:textAlignment w:val="baseline"/>
        <w:rPr>
          <w:rFonts w:cstheme="minorHAnsi"/>
          <w:color w:val="000000"/>
          <w:sz w:val="22"/>
          <w:szCs w:val="22"/>
        </w:rPr>
      </w:pPr>
      <w:r w:rsidRPr="00F83F9E">
        <w:rPr>
          <w:rFonts w:cstheme="minorHAnsi"/>
          <w:color w:val="000000"/>
          <w:sz w:val="22"/>
          <w:szCs w:val="22"/>
        </w:rPr>
        <w:t>Describe pilot data that will be collected to support future interventions</w:t>
      </w:r>
      <w:r w:rsidR="00826E42" w:rsidRPr="00F83F9E">
        <w:rPr>
          <w:rFonts w:cstheme="minorHAnsi"/>
          <w:color w:val="000000"/>
          <w:sz w:val="22"/>
          <w:szCs w:val="22"/>
        </w:rPr>
        <w:t>.</w:t>
      </w:r>
    </w:p>
    <w:p w14:paraId="1DB0C483" w14:textId="1F804E77" w:rsidR="00826ED4" w:rsidRPr="00F83F9E" w:rsidRDefault="00826ED4" w:rsidP="00826ED4">
      <w:pPr>
        <w:numPr>
          <w:ilvl w:val="0"/>
          <w:numId w:val="2"/>
        </w:numPr>
        <w:textAlignment w:val="baseline"/>
        <w:rPr>
          <w:rFonts w:cstheme="minorHAnsi"/>
          <w:color w:val="000000"/>
          <w:sz w:val="22"/>
          <w:szCs w:val="22"/>
        </w:rPr>
      </w:pPr>
      <w:bookmarkStart w:id="1" w:name="_Hlk33010093"/>
      <w:r w:rsidRPr="00F83F9E">
        <w:rPr>
          <w:rFonts w:cstheme="minorHAnsi"/>
          <w:color w:val="000000"/>
          <w:sz w:val="22"/>
          <w:szCs w:val="22"/>
        </w:rPr>
        <w:t>Describe the qualifications of the individual</w:t>
      </w:r>
      <w:r w:rsidR="00BC3DED" w:rsidRPr="00F83F9E">
        <w:rPr>
          <w:rFonts w:cstheme="minorHAnsi"/>
          <w:color w:val="000000"/>
          <w:sz w:val="22"/>
          <w:szCs w:val="22"/>
        </w:rPr>
        <w:t xml:space="preserve">(s) who will conduct the work. </w:t>
      </w:r>
      <w:r w:rsidRPr="00F83F9E">
        <w:rPr>
          <w:rFonts w:cstheme="minorHAnsi"/>
          <w:color w:val="000000"/>
          <w:sz w:val="22"/>
          <w:szCs w:val="22"/>
        </w:rPr>
        <w:t xml:space="preserve">Briefly elaborate on each </w:t>
      </w:r>
      <w:r w:rsidR="00D94355" w:rsidRPr="00F83F9E">
        <w:rPr>
          <w:rFonts w:cstheme="minorHAnsi"/>
          <w:color w:val="000000"/>
          <w:sz w:val="22"/>
          <w:szCs w:val="22"/>
        </w:rPr>
        <w:t>person’s</w:t>
      </w:r>
      <w:r w:rsidRPr="00F83F9E">
        <w:rPr>
          <w:rFonts w:cstheme="minorHAnsi"/>
          <w:color w:val="000000"/>
          <w:sz w:val="22"/>
          <w:szCs w:val="22"/>
        </w:rPr>
        <w:t xml:space="preserve"> CV in the narrative response.</w:t>
      </w:r>
    </w:p>
    <w:bookmarkEnd w:id="1"/>
    <w:p w14:paraId="4A53E3FD" w14:textId="77777777" w:rsidR="00D94355" w:rsidRPr="00F83F9E" w:rsidRDefault="00D94355" w:rsidP="00826ED4">
      <w:pPr>
        <w:rPr>
          <w:rFonts w:cstheme="minorHAnsi"/>
          <w:b/>
          <w:bCs/>
          <w:color w:val="000000"/>
          <w:sz w:val="22"/>
          <w:szCs w:val="22"/>
        </w:rPr>
      </w:pPr>
    </w:p>
    <w:p w14:paraId="5B8E4053" w14:textId="192F6574" w:rsidR="00826ED4" w:rsidRPr="00F83F9E" w:rsidRDefault="00826ED4" w:rsidP="00826ED4">
      <w:pPr>
        <w:rPr>
          <w:rFonts w:cstheme="minorHAnsi"/>
          <w:sz w:val="22"/>
          <w:szCs w:val="22"/>
        </w:rPr>
      </w:pPr>
      <w:r w:rsidRPr="00F83F9E">
        <w:rPr>
          <w:rFonts w:cstheme="minorHAnsi"/>
          <w:b/>
          <w:bCs/>
          <w:color w:val="000000"/>
          <w:sz w:val="22"/>
          <w:szCs w:val="22"/>
        </w:rPr>
        <w:t>NCI Evaluation of Supplement Requests</w:t>
      </w:r>
    </w:p>
    <w:p w14:paraId="7B468677" w14:textId="07B60306" w:rsidR="00826ED4" w:rsidRPr="00F83F9E" w:rsidRDefault="00826ED4" w:rsidP="00826ED4">
      <w:pPr>
        <w:rPr>
          <w:rFonts w:cstheme="minorHAnsi"/>
          <w:sz w:val="22"/>
          <w:szCs w:val="22"/>
        </w:rPr>
      </w:pPr>
      <w:r w:rsidRPr="00F83F9E">
        <w:rPr>
          <w:rFonts w:cstheme="minorHAnsi"/>
          <w:color w:val="000000"/>
          <w:sz w:val="22"/>
          <w:szCs w:val="22"/>
        </w:rPr>
        <w:t xml:space="preserve">Administrative </w:t>
      </w:r>
      <w:r w:rsidR="00E331DB" w:rsidRPr="00F83F9E">
        <w:rPr>
          <w:rFonts w:cstheme="minorHAnsi"/>
          <w:color w:val="000000"/>
          <w:sz w:val="22"/>
          <w:szCs w:val="22"/>
        </w:rPr>
        <w:t>s</w:t>
      </w:r>
      <w:r w:rsidRPr="00F83F9E">
        <w:rPr>
          <w:rFonts w:cstheme="minorHAnsi"/>
          <w:color w:val="000000"/>
          <w:sz w:val="22"/>
          <w:szCs w:val="22"/>
        </w:rPr>
        <w:t xml:space="preserve">upplements do not receive peer review. Instead, NCI staff with expertise in cancer prevention and control will evaluate supplement requests to determine overall merit. Proposals will be reviewed for quality and for responsiveness to application criteria outlined in the requirements for the </w:t>
      </w:r>
      <w:r w:rsidR="00E331DB" w:rsidRPr="00F83F9E">
        <w:rPr>
          <w:rFonts w:cstheme="minorHAnsi"/>
          <w:color w:val="000000"/>
          <w:sz w:val="22"/>
          <w:szCs w:val="22"/>
        </w:rPr>
        <w:t>five</w:t>
      </w:r>
      <w:r w:rsidR="00D94355" w:rsidRPr="00F83F9E">
        <w:rPr>
          <w:rFonts w:cstheme="minorHAnsi"/>
          <w:color w:val="000000"/>
          <w:sz w:val="22"/>
          <w:szCs w:val="22"/>
        </w:rPr>
        <w:t>-page summary described above.</w:t>
      </w:r>
    </w:p>
    <w:p w14:paraId="0F3E0A3A" w14:textId="77777777" w:rsidR="00D94355" w:rsidRPr="00F83F9E" w:rsidRDefault="00D94355" w:rsidP="00826ED4">
      <w:pPr>
        <w:rPr>
          <w:rFonts w:cstheme="minorHAnsi"/>
          <w:b/>
          <w:bCs/>
          <w:color w:val="000000"/>
          <w:sz w:val="22"/>
          <w:szCs w:val="22"/>
        </w:rPr>
      </w:pPr>
    </w:p>
    <w:p w14:paraId="63B683E6" w14:textId="2CC1509B" w:rsidR="00826ED4" w:rsidRPr="00F83F9E" w:rsidRDefault="00826ED4" w:rsidP="00826ED4">
      <w:pPr>
        <w:rPr>
          <w:rFonts w:cstheme="minorHAnsi"/>
          <w:sz w:val="22"/>
          <w:szCs w:val="22"/>
        </w:rPr>
      </w:pPr>
      <w:r w:rsidRPr="00F83F9E">
        <w:rPr>
          <w:rFonts w:cstheme="minorHAnsi"/>
          <w:b/>
          <w:bCs/>
          <w:color w:val="000000"/>
          <w:sz w:val="22"/>
          <w:szCs w:val="22"/>
        </w:rPr>
        <w:t>Reporting Requirements</w:t>
      </w:r>
    </w:p>
    <w:p w14:paraId="75A62A70" w14:textId="32321CE9" w:rsidR="002D2B11" w:rsidRPr="00F83F9E" w:rsidRDefault="00826ED4" w:rsidP="00826ED4">
      <w:pPr>
        <w:rPr>
          <w:rFonts w:cstheme="minorHAnsi"/>
          <w:color w:val="000000"/>
          <w:sz w:val="22"/>
          <w:szCs w:val="22"/>
        </w:rPr>
      </w:pPr>
      <w:r w:rsidRPr="00F83F9E">
        <w:rPr>
          <w:rFonts w:cstheme="minorHAnsi"/>
          <w:color w:val="000000"/>
          <w:sz w:val="22"/>
          <w:szCs w:val="22"/>
        </w:rPr>
        <w:t>As part of the progress report for the parent cancer center grant, include information on what has been accomplished via the administrative supplement</w:t>
      </w:r>
      <w:r w:rsidR="001D0546" w:rsidRPr="00F83F9E">
        <w:rPr>
          <w:rFonts w:cstheme="minorHAnsi"/>
          <w:color w:val="000000"/>
          <w:sz w:val="22"/>
          <w:szCs w:val="22"/>
        </w:rPr>
        <w:t xml:space="preserve">, including </w:t>
      </w:r>
      <w:r w:rsidR="00BC3993" w:rsidRPr="00F83F9E">
        <w:rPr>
          <w:rFonts w:cstheme="minorHAnsi"/>
          <w:color w:val="000000"/>
          <w:sz w:val="22"/>
          <w:szCs w:val="22"/>
        </w:rPr>
        <w:t xml:space="preserve">populations identified as vaccine hesitant and the </w:t>
      </w:r>
      <w:r w:rsidR="009B002D" w:rsidRPr="00F83F9E">
        <w:rPr>
          <w:rFonts w:cstheme="minorHAnsi"/>
          <w:color w:val="000000"/>
          <w:sz w:val="22"/>
          <w:szCs w:val="22"/>
        </w:rPr>
        <w:t xml:space="preserve">influences on that hesitancy; interventions identified for testing in order to decrease hesitancy and increase HPV vaccine uptake among those populations; and any pilot data collected (e.g., evidence of feasibility and acceptability); </w:t>
      </w:r>
      <w:r w:rsidRPr="00F83F9E">
        <w:rPr>
          <w:rFonts w:cstheme="minorHAnsi"/>
          <w:color w:val="000000"/>
          <w:sz w:val="22"/>
          <w:szCs w:val="22"/>
        </w:rPr>
        <w:t>as well as the cancer center’s plans to move forward on HPV vaccination</w:t>
      </w:r>
      <w:r w:rsidR="0021208F" w:rsidRPr="00F83F9E">
        <w:rPr>
          <w:rFonts w:cstheme="minorHAnsi"/>
          <w:color w:val="000000"/>
          <w:sz w:val="22"/>
          <w:szCs w:val="22"/>
        </w:rPr>
        <w:t xml:space="preserve"> hesitancy</w:t>
      </w:r>
      <w:r w:rsidRPr="00F83F9E">
        <w:rPr>
          <w:rFonts w:cstheme="minorHAnsi"/>
          <w:color w:val="000000"/>
          <w:sz w:val="22"/>
          <w:szCs w:val="22"/>
        </w:rPr>
        <w:t xml:space="preserve"> issues and the platform it will use to further progress around HPV vaccination.</w:t>
      </w:r>
      <w:r w:rsidR="002D2B11" w:rsidRPr="00F83F9E">
        <w:rPr>
          <w:rFonts w:cstheme="minorHAnsi"/>
          <w:color w:val="000000"/>
          <w:sz w:val="22"/>
          <w:szCs w:val="22"/>
        </w:rPr>
        <w:t xml:space="preserve"> </w:t>
      </w:r>
      <w:bookmarkStart w:id="2" w:name="_Hlk33010718"/>
      <w:r w:rsidR="002D2B11" w:rsidRPr="00F83F9E">
        <w:rPr>
          <w:rFonts w:cstheme="minorHAnsi"/>
          <w:color w:val="000000"/>
          <w:sz w:val="22"/>
          <w:szCs w:val="22"/>
        </w:rPr>
        <w:t xml:space="preserve">Award recipients are expected to provide data to NCI evaluators when requested. </w:t>
      </w:r>
    </w:p>
    <w:bookmarkEnd w:id="2"/>
    <w:p w14:paraId="552755BF" w14:textId="61115D85" w:rsidR="00F81352" w:rsidRPr="00F83F9E" w:rsidRDefault="00F81352" w:rsidP="00826ED4">
      <w:pPr>
        <w:rPr>
          <w:rFonts w:cstheme="minorHAnsi"/>
          <w:color w:val="000000"/>
          <w:sz w:val="22"/>
          <w:szCs w:val="22"/>
        </w:rPr>
      </w:pPr>
    </w:p>
    <w:p w14:paraId="24D74EB6" w14:textId="77777777" w:rsidR="004015BF" w:rsidRPr="004015BF" w:rsidRDefault="004015BF" w:rsidP="004015BF">
      <w:pPr>
        <w:rPr>
          <w:rFonts w:cstheme="minorHAnsi"/>
          <w:b/>
          <w:bCs/>
          <w:color w:val="000000"/>
          <w:sz w:val="22"/>
          <w:szCs w:val="22"/>
        </w:rPr>
      </w:pPr>
      <w:bookmarkStart w:id="3" w:name="_Hlk33009031"/>
      <w:r w:rsidRPr="004015BF">
        <w:rPr>
          <w:rFonts w:cstheme="minorHAnsi"/>
          <w:b/>
          <w:bCs/>
          <w:color w:val="000000"/>
          <w:sz w:val="22"/>
          <w:szCs w:val="22"/>
        </w:rPr>
        <w:t>Pre-Submission Informational Webinar:</w:t>
      </w:r>
    </w:p>
    <w:p w14:paraId="72F367DE" w14:textId="77777777" w:rsidR="004015BF" w:rsidRPr="00CB72BA" w:rsidRDefault="004015BF" w:rsidP="004015BF">
      <w:pPr>
        <w:rPr>
          <w:rFonts w:cstheme="minorHAnsi"/>
          <w:color w:val="000000"/>
          <w:sz w:val="22"/>
          <w:szCs w:val="22"/>
        </w:rPr>
      </w:pPr>
      <w:r w:rsidRPr="00CB72BA">
        <w:rPr>
          <w:rFonts w:cstheme="minorHAnsi"/>
          <w:color w:val="000000"/>
          <w:sz w:val="22"/>
          <w:szCs w:val="22"/>
        </w:rPr>
        <w:t>An informational webinar will be held as noted below:</w:t>
      </w:r>
    </w:p>
    <w:p w14:paraId="339E662D" w14:textId="77777777" w:rsidR="001C664F" w:rsidRPr="00CB72BA" w:rsidRDefault="001C664F" w:rsidP="001C664F">
      <w:pPr>
        <w:rPr>
          <w:rFonts w:cstheme="minorHAnsi"/>
          <w:color w:val="000000"/>
          <w:sz w:val="22"/>
          <w:szCs w:val="22"/>
        </w:rPr>
      </w:pPr>
    </w:p>
    <w:p w14:paraId="7EE4A1FC" w14:textId="0D013644" w:rsidR="004015BF" w:rsidRPr="00CB72BA" w:rsidRDefault="004015BF" w:rsidP="001C664F">
      <w:pPr>
        <w:rPr>
          <w:rFonts w:cstheme="minorHAnsi"/>
          <w:color w:val="000000"/>
          <w:sz w:val="22"/>
          <w:szCs w:val="22"/>
        </w:rPr>
      </w:pPr>
      <w:r w:rsidRPr="00CB72BA">
        <w:rPr>
          <w:rFonts w:cstheme="minorHAnsi"/>
          <w:color w:val="000000"/>
          <w:sz w:val="22"/>
          <w:szCs w:val="22"/>
        </w:rPr>
        <w:t>Time: Wednesday, Mar</w:t>
      </w:r>
      <w:r w:rsidR="004844A4">
        <w:rPr>
          <w:rFonts w:cstheme="minorHAnsi"/>
          <w:color w:val="000000"/>
          <w:sz w:val="22"/>
          <w:szCs w:val="22"/>
        </w:rPr>
        <w:t>ch</w:t>
      </w:r>
      <w:r w:rsidRPr="00CB72BA">
        <w:rPr>
          <w:rFonts w:cstheme="minorHAnsi"/>
          <w:color w:val="000000"/>
          <w:sz w:val="22"/>
          <w:szCs w:val="22"/>
        </w:rPr>
        <w:t xml:space="preserve"> 18, 2020</w:t>
      </w:r>
      <w:r w:rsidR="004844A4">
        <w:rPr>
          <w:rFonts w:cstheme="minorHAnsi"/>
          <w:color w:val="000000"/>
          <w:sz w:val="22"/>
          <w:szCs w:val="22"/>
        </w:rPr>
        <w:t>,</w:t>
      </w:r>
      <w:r w:rsidRPr="00CB72BA">
        <w:rPr>
          <w:rFonts w:cstheme="minorHAnsi"/>
          <w:color w:val="000000"/>
          <w:sz w:val="22"/>
          <w:szCs w:val="22"/>
        </w:rPr>
        <w:t xml:space="preserve"> 12:00 PM Eastern Time (US and Canada)</w:t>
      </w:r>
    </w:p>
    <w:p w14:paraId="242747F2" w14:textId="77777777" w:rsidR="004015BF" w:rsidRPr="00CB72BA" w:rsidRDefault="004015BF" w:rsidP="004015BF">
      <w:pPr>
        <w:rPr>
          <w:rFonts w:cstheme="minorHAnsi"/>
          <w:b/>
          <w:sz w:val="22"/>
          <w:szCs w:val="22"/>
        </w:rPr>
      </w:pPr>
    </w:p>
    <w:p w14:paraId="11FFCB16" w14:textId="77777777" w:rsidR="004015BF" w:rsidRPr="00CB72BA" w:rsidRDefault="004015BF" w:rsidP="004015BF">
      <w:pPr>
        <w:rPr>
          <w:rFonts w:cstheme="minorHAnsi"/>
          <w:sz w:val="22"/>
          <w:szCs w:val="22"/>
        </w:rPr>
      </w:pPr>
      <w:r w:rsidRPr="00CB72BA">
        <w:rPr>
          <w:rFonts w:cstheme="minorHAnsi"/>
          <w:sz w:val="22"/>
          <w:szCs w:val="22"/>
        </w:rPr>
        <w:t xml:space="preserve">The registration link is as follows: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3"/>
        <w:gridCol w:w="9287"/>
      </w:tblGrid>
      <w:tr w:rsidR="004015BF" w:rsidRPr="00CB72BA" w14:paraId="670A7F12" w14:textId="77777777" w:rsidTr="004015BF">
        <w:trPr>
          <w:tblCellSpacing w:w="0" w:type="dxa"/>
        </w:trPr>
        <w:tc>
          <w:tcPr>
            <w:tcW w:w="0" w:type="auto"/>
            <w:shd w:val="clear" w:color="auto" w:fill="FFFFFF"/>
            <w:noWrap/>
            <w:tcMar>
              <w:top w:w="30" w:type="dxa"/>
              <w:left w:w="30" w:type="dxa"/>
              <w:bottom w:w="30" w:type="dxa"/>
              <w:right w:w="30" w:type="dxa"/>
            </w:tcMar>
            <w:hideMark/>
          </w:tcPr>
          <w:p w14:paraId="1D1EB900" w14:textId="77777777" w:rsidR="004015BF" w:rsidRPr="00CB72BA" w:rsidRDefault="004015BF">
            <w:pPr>
              <w:rPr>
                <w:rFonts w:cstheme="minorHAnsi"/>
                <w:sz w:val="22"/>
                <w:szCs w:val="22"/>
              </w:rPr>
            </w:pPr>
          </w:p>
        </w:tc>
        <w:tc>
          <w:tcPr>
            <w:tcW w:w="0" w:type="auto"/>
            <w:shd w:val="clear" w:color="auto" w:fill="FFFFFF"/>
            <w:noWrap/>
            <w:tcMar>
              <w:top w:w="30" w:type="dxa"/>
              <w:left w:w="30" w:type="dxa"/>
              <w:bottom w:w="30" w:type="dxa"/>
              <w:right w:w="30" w:type="dxa"/>
            </w:tcMar>
            <w:hideMark/>
          </w:tcPr>
          <w:p w14:paraId="3EABFCB5" w14:textId="77777777" w:rsidR="004015BF" w:rsidRPr="00CB72BA" w:rsidRDefault="00B50C3D">
            <w:pPr>
              <w:rPr>
                <w:rFonts w:cstheme="minorHAnsi"/>
                <w:color w:val="000000"/>
                <w:sz w:val="22"/>
                <w:szCs w:val="22"/>
              </w:rPr>
            </w:pPr>
            <w:hyperlink r:id="rId11" w:history="1">
              <w:r w:rsidR="004015BF" w:rsidRPr="00CB72BA">
                <w:rPr>
                  <w:rStyle w:val="Hyperlink"/>
                  <w:rFonts w:cstheme="minorHAnsi"/>
                  <w:color w:val="0096D6"/>
                  <w:sz w:val="22"/>
                  <w:szCs w:val="22"/>
                </w:rPr>
                <w:t>https://cbiit.webex.com/cbiit/onstage/g.php?MTID=efd5d082d707e740d9e21c3b1a67209c1</w:t>
              </w:r>
            </w:hyperlink>
          </w:p>
        </w:tc>
      </w:tr>
    </w:tbl>
    <w:p w14:paraId="18B9D525" w14:textId="77777777" w:rsidR="004015BF" w:rsidRPr="00CB72BA" w:rsidRDefault="004015BF" w:rsidP="004015BF">
      <w:pPr>
        <w:pStyle w:val="NormalWeb"/>
        <w:rPr>
          <w:rFonts w:asciiTheme="minorHAnsi" w:hAnsiTheme="minorHAnsi" w:cstheme="minorHAnsi"/>
          <w:sz w:val="22"/>
          <w:szCs w:val="22"/>
        </w:rPr>
      </w:pPr>
      <w:r w:rsidRPr="00CB72BA">
        <w:rPr>
          <w:rFonts w:asciiTheme="minorHAnsi" w:hAnsiTheme="minorHAnsi" w:cstheme="minorHAnsi"/>
          <w:sz w:val="22"/>
          <w:szCs w:val="22"/>
        </w:rPr>
        <w:t>Dial-in information:</w:t>
      </w:r>
    </w:p>
    <w:p w14:paraId="2C32ACBB" w14:textId="77777777" w:rsidR="004015BF" w:rsidRPr="00CB72BA" w:rsidRDefault="004015BF" w:rsidP="004015BF">
      <w:pPr>
        <w:pStyle w:val="NormalWeb"/>
        <w:rPr>
          <w:rFonts w:asciiTheme="minorHAnsi" w:hAnsiTheme="minorHAnsi" w:cstheme="minorHAnsi"/>
          <w:sz w:val="22"/>
          <w:szCs w:val="22"/>
        </w:rPr>
      </w:pPr>
      <w:r w:rsidRPr="00CB72BA">
        <w:rPr>
          <w:rFonts w:asciiTheme="minorHAnsi" w:hAnsiTheme="minorHAnsi" w:cstheme="minorHAnsi"/>
          <w:sz w:val="22"/>
          <w:szCs w:val="22"/>
        </w:rPr>
        <w:t>Call-in toll number (US/Canada)</w:t>
      </w:r>
    </w:p>
    <w:p w14:paraId="2F1955EE" w14:textId="77777777" w:rsidR="004015BF" w:rsidRPr="00CB72BA" w:rsidRDefault="004015BF" w:rsidP="004015BF">
      <w:pPr>
        <w:pStyle w:val="NormalWeb"/>
        <w:rPr>
          <w:rFonts w:asciiTheme="minorHAnsi" w:hAnsiTheme="minorHAnsi" w:cstheme="minorHAnsi"/>
          <w:sz w:val="22"/>
          <w:szCs w:val="22"/>
        </w:rPr>
      </w:pPr>
      <w:r w:rsidRPr="00CB72BA">
        <w:rPr>
          <w:rFonts w:asciiTheme="minorHAnsi" w:hAnsiTheme="minorHAnsi" w:cstheme="minorHAnsi"/>
          <w:sz w:val="22"/>
          <w:szCs w:val="22"/>
        </w:rPr>
        <w:t>1-650-479-3207</w:t>
      </w:r>
    </w:p>
    <w:tbl>
      <w:tblPr>
        <w:tblW w:w="0" w:type="auto"/>
        <w:tblCellSpacing w:w="0" w:type="dxa"/>
        <w:tblCellMar>
          <w:left w:w="0" w:type="dxa"/>
          <w:right w:w="0" w:type="dxa"/>
        </w:tblCellMar>
        <w:tblLook w:val="04A0" w:firstRow="1" w:lastRow="0" w:firstColumn="1" w:lastColumn="0" w:noHBand="0" w:noVBand="1"/>
      </w:tblPr>
      <w:tblGrid>
        <w:gridCol w:w="3935"/>
      </w:tblGrid>
      <w:tr w:rsidR="004015BF" w:rsidRPr="00CB72BA" w14:paraId="46C485DD" w14:textId="77777777" w:rsidTr="004015BF">
        <w:trPr>
          <w:tblCellSpacing w:w="0" w:type="dxa"/>
        </w:trPr>
        <w:tc>
          <w:tcPr>
            <w:tcW w:w="0" w:type="auto"/>
            <w:noWrap/>
            <w:vAlign w:val="center"/>
            <w:hideMark/>
          </w:tcPr>
          <w:p w14:paraId="7A0256B0" w14:textId="77777777" w:rsidR="004015BF" w:rsidRPr="00CB72BA" w:rsidRDefault="004015BF">
            <w:pPr>
              <w:rPr>
                <w:rFonts w:cstheme="minorHAnsi"/>
                <w:sz w:val="22"/>
                <w:szCs w:val="22"/>
              </w:rPr>
            </w:pPr>
            <w:r w:rsidRPr="00CB72BA">
              <w:rPr>
                <w:rFonts w:cstheme="minorHAnsi"/>
                <w:sz w:val="22"/>
                <w:szCs w:val="22"/>
              </w:rPr>
              <w:t>Meeting Number/Access Code: 739 299 805</w:t>
            </w:r>
          </w:p>
        </w:tc>
      </w:tr>
      <w:tr w:rsidR="00905201" w:rsidRPr="00CB72BA" w14:paraId="639E4DFD" w14:textId="77777777" w:rsidTr="004015BF">
        <w:trPr>
          <w:tblCellSpacing w:w="0" w:type="dxa"/>
        </w:trPr>
        <w:tc>
          <w:tcPr>
            <w:tcW w:w="0" w:type="auto"/>
            <w:noWrap/>
            <w:vAlign w:val="center"/>
          </w:tcPr>
          <w:p w14:paraId="46B68878" w14:textId="77777777" w:rsidR="00905201" w:rsidRPr="00CB72BA" w:rsidRDefault="00905201">
            <w:pPr>
              <w:rPr>
                <w:rFonts w:cstheme="minorHAnsi"/>
                <w:sz w:val="22"/>
                <w:szCs w:val="22"/>
              </w:rPr>
            </w:pPr>
          </w:p>
        </w:tc>
      </w:tr>
      <w:tr w:rsidR="004015BF" w:rsidRPr="00CB72BA" w14:paraId="2EB62670" w14:textId="77777777" w:rsidTr="004015BF">
        <w:trPr>
          <w:tblCellSpacing w:w="0" w:type="dxa"/>
        </w:trPr>
        <w:tc>
          <w:tcPr>
            <w:tcW w:w="0" w:type="auto"/>
            <w:noWrap/>
            <w:vAlign w:val="center"/>
            <w:hideMark/>
          </w:tcPr>
          <w:p w14:paraId="7C5046B9" w14:textId="77777777" w:rsidR="004015BF" w:rsidRPr="00CB72BA" w:rsidRDefault="004015BF">
            <w:pPr>
              <w:rPr>
                <w:rFonts w:cstheme="minorHAnsi"/>
                <w:sz w:val="22"/>
                <w:szCs w:val="22"/>
              </w:rPr>
            </w:pPr>
            <w:r w:rsidRPr="00CB72BA">
              <w:rPr>
                <w:rFonts w:cstheme="minorHAnsi"/>
                <w:sz w:val="22"/>
                <w:szCs w:val="22"/>
              </w:rPr>
              <w:t xml:space="preserve">Event password: </w:t>
            </w:r>
            <w:r w:rsidRPr="00CB72BA">
              <w:rPr>
                <w:rFonts w:cstheme="minorHAnsi"/>
                <w:color w:val="000000"/>
                <w:sz w:val="22"/>
                <w:szCs w:val="22"/>
              </w:rPr>
              <w:t>J2d5pEBZw$6</w:t>
            </w:r>
          </w:p>
        </w:tc>
      </w:tr>
    </w:tbl>
    <w:p w14:paraId="597DDE8A" w14:textId="77777777" w:rsidR="00D94355" w:rsidRPr="00CB72BA" w:rsidRDefault="00D94355" w:rsidP="00826ED4">
      <w:pPr>
        <w:rPr>
          <w:rFonts w:cstheme="minorHAnsi"/>
          <w:b/>
          <w:bCs/>
          <w:color w:val="000000"/>
          <w:sz w:val="22"/>
          <w:szCs w:val="22"/>
        </w:rPr>
      </w:pPr>
    </w:p>
    <w:bookmarkEnd w:id="3"/>
    <w:p w14:paraId="4C2A44C1" w14:textId="5A1B0439" w:rsidR="00826ED4" w:rsidRPr="00F83F9E" w:rsidRDefault="00826ED4" w:rsidP="00826ED4">
      <w:pPr>
        <w:rPr>
          <w:rFonts w:cstheme="minorHAnsi"/>
          <w:sz w:val="22"/>
          <w:szCs w:val="22"/>
        </w:rPr>
      </w:pPr>
      <w:r w:rsidRPr="00F83F9E">
        <w:rPr>
          <w:rFonts w:cstheme="minorHAnsi"/>
          <w:b/>
          <w:bCs/>
          <w:color w:val="000000"/>
          <w:sz w:val="22"/>
          <w:szCs w:val="22"/>
        </w:rPr>
        <w:t>Questions</w:t>
      </w:r>
    </w:p>
    <w:p w14:paraId="0C9C722A" w14:textId="3D6E46B2" w:rsidR="00826ED4" w:rsidRPr="00F83F9E" w:rsidRDefault="00826ED4" w:rsidP="00826ED4">
      <w:pPr>
        <w:rPr>
          <w:rFonts w:cstheme="minorHAnsi"/>
          <w:sz w:val="22"/>
          <w:szCs w:val="22"/>
        </w:rPr>
      </w:pPr>
      <w:r w:rsidRPr="00F83F9E">
        <w:rPr>
          <w:rFonts w:cstheme="minorHAnsi"/>
          <w:color w:val="000000"/>
          <w:sz w:val="22"/>
          <w:szCs w:val="22"/>
        </w:rPr>
        <w:t>For technical inquiries</w:t>
      </w:r>
      <w:r w:rsidR="009B23D3">
        <w:rPr>
          <w:rFonts w:cstheme="minorHAnsi"/>
          <w:color w:val="000000"/>
          <w:sz w:val="22"/>
          <w:szCs w:val="22"/>
        </w:rPr>
        <w:t xml:space="preserve"> (including eligibility)</w:t>
      </w:r>
      <w:r w:rsidRPr="00F83F9E">
        <w:rPr>
          <w:rFonts w:cstheme="minorHAnsi"/>
          <w:color w:val="000000"/>
          <w:sz w:val="22"/>
          <w:szCs w:val="22"/>
        </w:rPr>
        <w:t xml:space="preserve">, please contact your cancer center grant </w:t>
      </w:r>
      <w:r w:rsidR="003D2458" w:rsidRPr="00F83F9E">
        <w:rPr>
          <w:rFonts w:cstheme="minorHAnsi"/>
          <w:color w:val="000000"/>
          <w:sz w:val="22"/>
          <w:szCs w:val="22"/>
        </w:rPr>
        <w:t>administrator or your NCI program director</w:t>
      </w:r>
      <w:r w:rsidRPr="00F83F9E">
        <w:rPr>
          <w:rFonts w:cstheme="minorHAnsi"/>
          <w:color w:val="000000"/>
          <w:sz w:val="22"/>
          <w:szCs w:val="22"/>
        </w:rPr>
        <w:t>. For inquiries about the scientific objectives and goals, please contact</w:t>
      </w:r>
      <w:r w:rsidR="009B23D3">
        <w:rPr>
          <w:rFonts w:cstheme="minorHAnsi"/>
          <w:color w:val="000000"/>
          <w:sz w:val="22"/>
          <w:szCs w:val="22"/>
        </w:rPr>
        <w:t xml:space="preserve"> Sarah Kobrin (</w:t>
      </w:r>
      <w:hyperlink r:id="rId12" w:history="1">
        <w:r w:rsidR="009B23D3" w:rsidRPr="009B23D3">
          <w:rPr>
            <w:rStyle w:val="Hyperlink"/>
            <w:rFonts w:cstheme="minorHAnsi"/>
            <w:sz w:val="22"/>
            <w:szCs w:val="22"/>
          </w:rPr>
          <w:t>kobrins@mail.nih.gov</w:t>
        </w:r>
      </w:hyperlink>
      <w:r w:rsidR="009B23D3" w:rsidRPr="009B23D3">
        <w:rPr>
          <w:rFonts w:cstheme="minorHAnsi"/>
          <w:color w:val="000000"/>
          <w:sz w:val="22"/>
          <w:szCs w:val="22"/>
        </w:rPr>
        <w:t>).</w:t>
      </w:r>
      <w:r w:rsidR="009B23D3">
        <w:rPr>
          <w:rFonts w:cstheme="minorHAnsi"/>
          <w:b/>
          <w:bCs/>
          <w:color w:val="000000"/>
          <w:sz w:val="22"/>
          <w:szCs w:val="22"/>
        </w:rPr>
        <w:t xml:space="preserve"> </w:t>
      </w:r>
    </w:p>
    <w:p w14:paraId="68D464C3" w14:textId="77777777" w:rsidR="00826ED4" w:rsidRPr="00B85560" w:rsidRDefault="00826ED4" w:rsidP="00826ED4">
      <w:pPr>
        <w:spacing w:after="240"/>
        <w:rPr>
          <w:rFonts w:eastAsia="Times New Roman" w:cstheme="minorHAnsi"/>
          <w:sz w:val="22"/>
          <w:szCs w:val="22"/>
        </w:rPr>
      </w:pPr>
    </w:p>
    <w:p w14:paraId="372A6CD3" w14:textId="77777777" w:rsidR="0083136A" w:rsidRPr="00B85560" w:rsidRDefault="00B50C3D">
      <w:pPr>
        <w:rPr>
          <w:rFonts w:cstheme="minorHAnsi"/>
          <w:sz w:val="22"/>
          <w:szCs w:val="22"/>
        </w:rPr>
      </w:pPr>
    </w:p>
    <w:sectPr w:rsidR="0083136A" w:rsidRPr="00B85560" w:rsidSect="007C29E2">
      <w:pgSz w:w="12240" w:h="15840"/>
      <w:pgMar w:top="5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976BA"/>
    <w:multiLevelType w:val="multilevel"/>
    <w:tmpl w:val="0C16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C328BE"/>
    <w:multiLevelType w:val="hybridMultilevel"/>
    <w:tmpl w:val="6D2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C7A7D"/>
    <w:multiLevelType w:val="multilevel"/>
    <w:tmpl w:val="D87A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F6EA2"/>
    <w:multiLevelType w:val="hybridMultilevel"/>
    <w:tmpl w:val="1A8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050481"/>
    <w:multiLevelType w:val="hybridMultilevel"/>
    <w:tmpl w:val="F9C6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D4"/>
    <w:rsid w:val="000114BF"/>
    <w:rsid w:val="000123E8"/>
    <w:rsid w:val="000268BD"/>
    <w:rsid w:val="000300F6"/>
    <w:rsid w:val="00065DA2"/>
    <w:rsid w:val="00073EF6"/>
    <w:rsid w:val="000812BD"/>
    <w:rsid w:val="00083E53"/>
    <w:rsid w:val="00091F9B"/>
    <w:rsid w:val="000A744D"/>
    <w:rsid w:val="000D1C67"/>
    <w:rsid w:val="00121BEF"/>
    <w:rsid w:val="00142423"/>
    <w:rsid w:val="001561E5"/>
    <w:rsid w:val="00191FB0"/>
    <w:rsid w:val="001A323D"/>
    <w:rsid w:val="001B452A"/>
    <w:rsid w:val="001C664F"/>
    <w:rsid w:val="001D0546"/>
    <w:rsid w:val="0021208F"/>
    <w:rsid w:val="002145E3"/>
    <w:rsid w:val="0022463D"/>
    <w:rsid w:val="00272C60"/>
    <w:rsid w:val="002761CB"/>
    <w:rsid w:val="002B22E8"/>
    <w:rsid w:val="002D2B11"/>
    <w:rsid w:val="002E1BE3"/>
    <w:rsid w:val="002F7DAB"/>
    <w:rsid w:val="0031269B"/>
    <w:rsid w:val="00327E40"/>
    <w:rsid w:val="0033071E"/>
    <w:rsid w:val="00333884"/>
    <w:rsid w:val="003503BF"/>
    <w:rsid w:val="00367D81"/>
    <w:rsid w:val="00375716"/>
    <w:rsid w:val="003A7E10"/>
    <w:rsid w:val="003B3098"/>
    <w:rsid w:val="003D2458"/>
    <w:rsid w:val="003E43C0"/>
    <w:rsid w:val="003F26E8"/>
    <w:rsid w:val="004015BF"/>
    <w:rsid w:val="0044339A"/>
    <w:rsid w:val="00446F61"/>
    <w:rsid w:val="00447DAF"/>
    <w:rsid w:val="00483FA4"/>
    <w:rsid w:val="004844A4"/>
    <w:rsid w:val="0048794D"/>
    <w:rsid w:val="004B26C6"/>
    <w:rsid w:val="005376E4"/>
    <w:rsid w:val="00561C7E"/>
    <w:rsid w:val="00562D1E"/>
    <w:rsid w:val="0059145C"/>
    <w:rsid w:val="005C66F7"/>
    <w:rsid w:val="005E402F"/>
    <w:rsid w:val="00604819"/>
    <w:rsid w:val="0060579B"/>
    <w:rsid w:val="00611698"/>
    <w:rsid w:val="006327D3"/>
    <w:rsid w:val="0064575D"/>
    <w:rsid w:val="00671FE6"/>
    <w:rsid w:val="00682F72"/>
    <w:rsid w:val="00695813"/>
    <w:rsid w:val="006D18AD"/>
    <w:rsid w:val="006F1173"/>
    <w:rsid w:val="006F34A8"/>
    <w:rsid w:val="00720C67"/>
    <w:rsid w:val="00745D71"/>
    <w:rsid w:val="00753EF0"/>
    <w:rsid w:val="00764F73"/>
    <w:rsid w:val="007B0D3F"/>
    <w:rsid w:val="007C0C48"/>
    <w:rsid w:val="007C29E2"/>
    <w:rsid w:val="007C4607"/>
    <w:rsid w:val="007E1AB7"/>
    <w:rsid w:val="007F0997"/>
    <w:rsid w:val="007F5C2E"/>
    <w:rsid w:val="008022F5"/>
    <w:rsid w:val="00812425"/>
    <w:rsid w:val="00812B59"/>
    <w:rsid w:val="00821B18"/>
    <w:rsid w:val="00826E42"/>
    <w:rsid w:val="00826ED4"/>
    <w:rsid w:val="00841535"/>
    <w:rsid w:val="00841CD7"/>
    <w:rsid w:val="00842E0A"/>
    <w:rsid w:val="00876E8D"/>
    <w:rsid w:val="00891182"/>
    <w:rsid w:val="008A059B"/>
    <w:rsid w:val="008B6861"/>
    <w:rsid w:val="008C0901"/>
    <w:rsid w:val="008D1540"/>
    <w:rsid w:val="008D4643"/>
    <w:rsid w:val="00903CF0"/>
    <w:rsid w:val="00905201"/>
    <w:rsid w:val="009259EE"/>
    <w:rsid w:val="009421A1"/>
    <w:rsid w:val="009446D6"/>
    <w:rsid w:val="00983341"/>
    <w:rsid w:val="0099547D"/>
    <w:rsid w:val="009B002D"/>
    <w:rsid w:val="009B23D3"/>
    <w:rsid w:val="009E05C8"/>
    <w:rsid w:val="009E57B4"/>
    <w:rsid w:val="009F398F"/>
    <w:rsid w:val="00A0031C"/>
    <w:rsid w:val="00A234C4"/>
    <w:rsid w:val="00A57110"/>
    <w:rsid w:val="00AA7C6B"/>
    <w:rsid w:val="00AC018D"/>
    <w:rsid w:val="00AE3250"/>
    <w:rsid w:val="00AF71FF"/>
    <w:rsid w:val="00B50C3D"/>
    <w:rsid w:val="00B63E89"/>
    <w:rsid w:val="00B72E81"/>
    <w:rsid w:val="00B802F9"/>
    <w:rsid w:val="00B805D8"/>
    <w:rsid w:val="00B85560"/>
    <w:rsid w:val="00B95BFE"/>
    <w:rsid w:val="00BA78CF"/>
    <w:rsid w:val="00BC3993"/>
    <w:rsid w:val="00BC3DED"/>
    <w:rsid w:val="00BD2636"/>
    <w:rsid w:val="00BD2A60"/>
    <w:rsid w:val="00C014B8"/>
    <w:rsid w:val="00C24A86"/>
    <w:rsid w:val="00C3282A"/>
    <w:rsid w:val="00CB72BA"/>
    <w:rsid w:val="00CD0E37"/>
    <w:rsid w:val="00CF2FC3"/>
    <w:rsid w:val="00D024CA"/>
    <w:rsid w:val="00D033CA"/>
    <w:rsid w:val="00D04CD1"/>
    <w:rsid w:val="00D33AAB"/>
    <w:rsid w:val="00D35A56"/>
    <w:rsid w:val="00D46B48"/>
    <w:rsid w:val="00D567E3"/>
    <w:rsid w:val="00D66BAC"/>
    <w:rsid w:val="00D94355"/>
    <w:rsid w:val="00DE76BD"/>
    <w:rsid w:val="00E331DB"/>
    <w:rsid w:val="00E36F2E"/>
    <w:rsid w:val="00E67310"/>
    <w:rsid w:val="00E940FA"/>
    <w:rsid w:val="00EA3D4F"/>
    <w:rsid w:val="00EC454E"/>
    <w:rsid w:val="00F133A6"/>
    <w:rsid w:val="00F4555A"/>
    <w:rsid w:val="00F61025"/>
    <w:rsid w:val="00F635FC"/>
    <w:rsid w:val="00F66507"/>
    <w:rsid w:val="00F748F8"/>
    <w:rsid w:val="00F81352"/>
    <w:rsid w:val="00F828D3"/>
    <w:rsid w:val="00F83F9E"/>
    <w:rsid w:val="00F92995"/>
    <w:rsid w:val="00FA0A0C"/>
    <w:rsid w:val="00FA1436"/>
    <w:rsid w:val="00FA2845"/>
    <w:rsid w:val="00FA5B94"/>
    <w:rsid w:val="00FC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EA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6ED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26ED4"/>
    <w:rPr>
      <w:color w:val="0000FF"/>
      <w:u w:val="single"/>
    </w:rPr>
  </w:style>
  <w:style w:type="character" w:styleId="CommentReference">
    <w:name w:val="annotation reference"/>
    <w:basedOn w:val="DefaultParagraphFont"/>
    <w:uiPriority w:val="99"/>
    <w:semiHidden/>
    <w:unhideWhenUsed/>
    <w:rsid w:val="003F26E8"/>
    <w:rPr>
      <w:sz w:val="16"/>
      <w:szCs w:val="16"/>
    </w:rPr>
  </w:style>
  <w:style w:type="paragraph" w:styleId="CommentText">
    <w:name w:val="annotation text"/>
    <w:basedOn w:val="Normal"/>
    <w:link w:val="CommentTextChar"/>
    <w:uiPriority w:val="99"/>
    <w:semiHidden/>
    <w:unhideWhenUsed/>
    <w:rsid w:val="003F26E8"/>
    <w:rPr>
      <w:sz w:val="20"/>
      <w:szCs w:val="20"/>
    </w:rPr>
  </w:style>
  <w:style w:type="character" w:customStyle="1" w:styleId="CommentTextChar">
    <w:name w:val="Comment Text Char"/>
    <w:basedOn w:val="DefaultParagraphFont"/>
    <w:link w:val="CommentText"/>
    <w:uiPriority w:val="99"/>
    <w:semiHidden/>
    <w:rsid w:val="003F26E8"/>
    <w:rPr>
      <w:sz w:val="20"/>
      <w:szCs w:val="20"/>
    </w:rPr>
  </w:style>
  <w:style w:type="paragraph" w:styleId="CommentSubject">
    <w:name w:val="annotation subject"/>
    <w:basedOn w:val="CommentText"/>
    <w:next w:val="CommentText"/>
    <w:link w:val="CommentSubjectChar"/>
    <w:uiPriority w:val="99"/>
    <w:semiHidden/>
    <w:unhideWhenUsed/>
    <w:rsid w:val="003F26E8"/>
    <w:rPr>
      <w:b/>
      <w:bCs/>
    </w:rPr>
  </w:style>
  <w:style w:type="character" w:customStyle="1" w:styleId="CommentSubjectChar">
    <w:name w:val="Comment Subject Char"/>
    <w:basedOn w:val="CommentTextChar"/>
    <w:link w:val="CommentSubject"/>
    <w:uiPriority w:val="99"/>
    <w:semiHidden/>
    <w:rsid w:val="003F26E8"/>
    <w:rPr>
      <w:b/>
      <w:bCs/>
      <w:sz w:val="20"/>
      <w:szCs w:val="20"/>
    </w:rPr>
  </w:style>
  <w:style w:type="paragraph" w:styleId="BalloonText">
    <w:name w:val="Balloon Text"/>
    <w:basedOn w:val="Normal"/>
    <w:link w:val="BalloonTextChar"/>
    <w:uiPriority w:val="99"/>
    <w:semiHidden/>
    <w:unhideWhenUsed/>
    <w:rsid w:val="003F2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6E8"/>
    <w:rPr>
      <w:rFonts w:ascii="Segoe UI" w:hAnsi="Segoe UI" w:cs="Segoe UI"/>
      <w:sz w:val="18"/>
      <w:szCs w:val="18"/>
    </w:rPr>
  </w:style>
  <w:style w:type="character" w:styleId="UnresolvedMention">
    <w:name w:val="Unresolved Mention"/>
    <w:basedOn w:val="DefaultParagraphFont"/>
    <w:uiPriority w:val="99"/>
    <w:semiHidden/>
    <w:unhideWhenUsed/>
    <w:rsid w:val="00C014B8"/>
    <w:rPr>
      <w:color w:val="605E5C"/>
      <w:shd w:val="clear" w:color="auto" w:fill="E1DFDD"/>
    </w:rPr>
  </w:style>
  <w:style w:type="paragraph" w:styleId="Revision">
    <w:name w:val="Revision"/>
    <w:hidden/>
    <w:uiPriority w:val="99"/>
    <w:semiHidden/>
    <w:rsid w:val="00AA7C6B"/>
  </w:style>
  <w:style w:type="paragraph" w:styleId="ListParagraph">
    <w:name w:val="List Paragraph"/>
    <w:basedOn w:val="Normal"/>
    <w:uiPriority w:val="34"/>
    <w:qFormat/>
    <w:rsid w:val="00AA7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7731">
      <w:bodyDiv w:val="1"/>
      <w:marLeft w:val="0"/>
      <w:marRight w:val="0"/>
      <w:marTop w:val="0"/>
      <w:marBottom w:val="0"/>
      <w:divBdr>
        <w:top w:val="none" w:sz="0" w:space="0" w:color="auto"/>
        <w:left w:val="none" w:sz="0" w:space="0" w:color="auto"/>
        <w:bottom w:val="none" w:sz="0" w:space="0" w:color="auto"/>
        <w:right w:val="none" w:sz="0" w:space="0" w:color="auto"/>
      </w:divBdr>
    </w:div>
    <w:div w:id="1290744724">
      <w:bodyDiv w:val="1"/>
      <w:marLeft w:val="0"/>
      <w:marRight w:val="0"/>
      <w:marTop w:val="0"/>
      <w:marBottom w:val="0"/>
      <w:divBdr>
        <w:top w:val="none" w:sz="0" w:space="0" w:color="auto"/>
        <w:left w:val="none" w:sz="0" w:space="0" w:color="auto"/>
        <w:bottom w:val="none" w:sz="0" w:space="0" w:color="auto"/>
        <w:right w:val="none" w:sz="0" w:space="0" w:color="auto"/>
      </w:divBdr>
    </w:div>
    <w:div w:id="1869638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8/wr/mm6833a2.htm?s_cid=mm6833a2_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ncer.gov/research/key-initiatives/moonshot-cancer-initiative/blue-ribbon-panel/blue-ribbon-panel-report-2016.pdf" TargetMode="External"/><Relationship Id="rId12" Type="http://schemas.openxmlformats.org/officeDocument/2006/relationships/hyperlink" Target="mailto:kobrins@mail.nih.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dc.gov/mmwr/volumes/68/wr/mm6833a2.htm?s_cid=mm6833a2_w" TargetMode="External"/><Relationship Id="rId11" Type="http://schemas.openxmlformats.org/officeDocument/2006/relationships/hyperlink" Target="https://cbiit.webex.com/cbiit/onstage/g.php?MTID=efd5d082d707e740d9e21c3b1a67209c1" TargetMode="External"/><Relationship Id="rId5" Type="http://schemas.openxmlformats.org/officeDocument/2006/relationships/webSettings" Target="webSettings.xml"/><Relationship Id="rId10" Type="http://schemas.openxmlformats.org/officeDocument/2006/relationships/hyperlink" Target="mailto:stacey.vandor@nih.gov" TargetMode="External"/><Relationship Id="rId4" Type="http://schemas.openxmlformats.org/officeDocument/2006/relationships/settings" Target="settings.xml"/><Relationship Id="rId9" Type="http://schemas.openxmlformats.org/officeDocument/2006/relationships/hyperlink" Target="mailto:cvinson@mail.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F4E14-7B6E-4D15-926A-0B685798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Vandor, Stacey (NIH/NCI) [E]</cp:lastModifiedBy>
  <cp:revision>5</cp:revision>
  <cp:lastPrinted>2019-10-07T14:36:00Z</cp:lastPrinted>
  <dcterms:created xsi:type="dcterms:W3CDTF">2020-02-24T17:33:00Z</dcterms:created>
  <dcterms:modified xsi:type="dcterms:W3CDTF">2020-02-24T20:22:00Z</dcterms:modified>
</cp:coreProperties>
</file>